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57AC6" w14:textId="279C4629" w:rsidR="00653B56" w:rsidRPr="00B87D84" w:rsidRDefault="00F636DB" w:rsidP="00B87D84">
      <w:pPr>
        <w:jc w:val="center"/>
        <w:rPr>
          <w:rFonts w:ascii="Verdana" w:hAnsi="Verdana"/>
          <w:b/>
          <w:bCs/>
          <w:sz w:val="32"/>
          <w:szCs w:val="32"/>
        </w:rPr>
      </w:pPr>
      <w:r w:rsidRPr="00B87D84">
        <w:rPr>
          <w:rFonts w:ascii="Verdana" w:hAnsi="Verdana"/>
          <w:b/>
          <w:bCs/>
          <w:sz w:val="32"/>
          <w:szCs w:val="32"/>
        </w:rPr>
        <w:t>City of Canton</w:t>
      </w:r>
    </w:p>
    <w:p w14:paraId="313C5EE0" w14:textId="19E255EF" w:rsidR="00F636DB" w:rsidRPr="00B87D84" w:rsidRDefault="00F636DB" w:rsidP="00B87D84">
      <w:pPr>
        <w:jc w:val="center"/>
        <w:rPr>
          <w:rFonts w:ascii="Verdana" w:hAnsi="Verdana"/>
          <w:b/>
          <w:bCs/>
          <w:sz w:val="32"/>
          <w:szCs w:val="32"/>
        </w:rPr>
      </w:pPr>
      <w:r w:rsidRPr="00B87D84">
        <w:rPr>
          <w:rFonts w:ascii="Verdana" w:hAnsi="Verdana"/>
          <w:b/>
          <w:bCs/>
          <w:sz w:val="32"/>
          <w:szCs w:val="32"/>
        </w:rPr>
        <w:t>ACCESSORY DWELLING UNIT CHEC</w:t>
      </w:r>
      <w:r w:rsidR="00F87C5E">
        <w:rPr>
          <w:rFonts w:ascii="Verdana" w:hAnsi="Verdana"/>
          <w:b/>
          <w:bCs/>
          <w:sz w:val="32"/>
          <w:szCs w:val="32"/>
        </w:rPr>
        <w:t>K</w:t>
      </w:r>
      <w:r w:rsidRPr="00B87D84">
        <w:rPr>
          <w:rFonts w:ascii="Verdana" w:hAnsi="Verdana"/>
          <w:b/>
          <w:bCs/>
          <w:sz w:val="32"/>
          <w:szCs w:val="32"/>
        </w:rPr>
        <w:t>LIST AND STANDARDS</w:t>
      </w:r>
    </w:p>
    <w:p w14:paraId="33C891F4" w14:textId="30941263" w:rsidR="00F636DB" w:rsidRDefault="00F636DB" w:rsidP="00653B56">
      <w:pPr>
        <w:rPr>
          <w:rFonts w:ascii="Verdana" w:hAnsi="Verdana"/>
        </w:rPr>
      </w:pPr>
    </w:p>
    <w:p w14:paraId="3B922426" w14:textId="4A8DAFF3" w:rsidR="00F636DB" w:rsidRDefault="00F636DB" w:rsidP="00653B56">
      <w:pPr>
        <w:rPr>
          <w:rFonts w:ascii="Verdana" w:hAnsi="Verdana"/>
        </w:rPr>
      </w:pPr>
      <w:r>
        <w:rPr>
          <w:rFonts w:ascii="Verdana" w:hAnsi="Verdana"/>
        </w:rPr>
        <w:t>Canton encourages Accessory Dwellings Units, which can provide needed infill rental housing in existing neighborhoods or provide the opportunity for family members to live on the same property with their relatives.</w:t>
      </w:r>
    </w:p>
    <w:p w14:paraId="38A3ECB2" w14:textId="03BC4654" w:rsidR="00F636DB" w:rsidRDefault="00F636DB" w:rsidP="00653B56">
      <w:pPr>
        <w:rPr>
          <w:rFonts w:ascii="Verdana" w:hAnsi="Verdana"/>
        </w:rPr>
      </w:pPr>
    </w:p>
    <w:p w14:paraId="68E2B9F0" w14:textId="2B610B49" w:rsidR="00F636DB" w:rsidRDefault="00F636DB" w:rsidP="00653B56">
      <w:pPr>
        <w:rPr>
          <w:rFonts w:ascii="Verdana" w:hAnsi="Verdana"/>
        </w:rPr>
      </w:pPr>
      <w:r>
        <w:rPr>
          <w:rFonts w:ascii="Verdana" w:hAnsi="Verdana"/>
        </w:rPr>
        <w:t>There are development standards, review procedures, permits and fee requirements associated with creating a new dwelling unit that you should be aware of as part of your consideration of whether to undertake development of an Accessory Dwelling Unit.</w:t>
      </w:r>
    </w:p>
    <w:p w14:paraId="44FAC623" w14:textId="639005A7" w:rsidR="00F636DB" w:rsidRDefault="00F636DB" w:rsidP="00653B56">
      <w:pPr>
        <w:rPr>
          <w:rFonts w:ascii="Verdana" w:hAnsi="Verdana"/>
        </w:rPr>
      </w:pPr>
    </w:p>
    <w:p w14:paraId="2735C8D0" w14:textId="2394A7BE" w:rsidR="00F636DB" w:rsidRDefault="00F636DB" w:rsidP="00653B56">
      <w:pPr>
        <w:rPr>
          <w:rFonts w:ascii="Verdana" w:hAnsi="Verdana"/>
        </w:rPr>
      </w:pPr>
      <w:r>
        <w:rPr>
          <w:rFonts w:ascii="Verdana" w:hAnsi="Verdana"/>
        </w:rPr>
        <w:t>This handout is intended to generally inform you about some of the regulations pertaining to Accessory Dwelling Unit</w:t>
      </w:r>
      <w:r w:rsidR="00190F1D">
        <w:rPr>
          <w:rFonts w:ascii="Verdana" w:hAnsi="Verdana"/>
        </w:rPr>
        <w:t>s.  This handout does not constitute actual regulations or encompass all requirements.</w:t>
      </w:r>
    </w:p>
    <w:p w14:paraId="18F3FC71" w14:textId="77777777" w:rsidR="00190F1D" w:rsidRDefault="00190F1D" w:rsidP="00653B56">
      <w:pPr>
        <w:rPr>
          <w:rFonts w:ascii="Verdana" w:hAnsi="Verdana"/>
        </w:rPr>
      </w:pPr>
    </w:p>
    <w:p w14:paraId="5AB6ECCF" w14:textId="63283B6A" w:rsidR="00190F1D" w:rsidRPr="00B87D84" w:rsidRDefault="00190F1D" w:rsidP="00653B56">
      <w:pPr>
        <w:rPr>
          <w:rFonts w:ascii="Verdana" w:hAnsi="Verdana"/>
          <w:b/>
          <w:bCs/>
          <w:u w:val="single"/>
        </w:rPr>
      </w:pPr>
      <w:r w:rsidRPr="00B87D84">
        <w:rPr>
          <w:rFonts w:ascii="Verdana" w:hAnsi="Verdana"/>
          <w:b/>
          <w:bCs/>
          <w:u w:val="single"/>
        </w:rPr>
        <w:t>TYPES OF ACCESSORY DWELLING UNITS</w:t>
      </w:r>
    </w:p>
    <w:p w14:paraId="197C2C79" w14:textId="4BC2E510" w:rsidR="00190F1D" w:rsidRDefault="00190F1D" w:rsidP="00653B56">
      <w:pPr>
        <w:rPr>
          <w:rFonts w:ascii="Verdana" w:hAnsi="Verdana"/>
        </w:rPr>
      </w:pPr>
    </w:p>
    <w:p w14:paraId="0EDA7F1E" w14:textId="1071CE76" w:rsidR="00190F1D" w:rsidRDefault="00190F1D" w:rsidP="00653B56">
      <w:pPr>
        <w:rPr>
          <w:rFonts w:ascii="Verdana" w:hAnsi="Verdana"/>
        </w:rPr>
      </w:pPr>
      <w:r>
        <w:rPr>
          <w:rFonts w:ascii="Verdana" w:hAnsi="Verdana"/>
        </w:rPr>
        <w:t xml:space="preserve">Accessory Units can be developed in </w:t>
      </w:r>
      <w:r w:rsidR="009D1D2A">
        <w:rPr>
          <w:rFonts w:ascii="Verdana" w:hAnsi="Verdana"/>
        </w:rPr>
        <w:t>several</w:t>
      </w:r>
      <w:r>
        <w:rPr>
          <w:rFonts w:ascii="Verdana" w:hAnsi="Verdana"/>
        </w:rPr>
        <w:t xml:space="preserve"> ways:  by building an entirely new residence that is separate from the existing house; by converting an accessory structure such as a garage; by adding onto an existing house; or by remodeling the interior of an existing home, including conversion of qualifying attic space </w:t>
      </w:r>
      <w:r w:rsidR="00FF2DB8">
        <w:rPr>
          <w:rFonts w:ascii="Verdana" w:hAnsi="Verdana"/>
        </w:rPr>
        <w:t>or</w:t>
      </w:r>
      <w:r>
        <w:rPr>
          <w:rFonts w:ascii="Verdana" w:hAnsi="Verdana"/>
        </w:rPr>
        <w:t xml:space="preserve"> basement space.</w:t>
      </w:r>
    </w:p>
    <w:p w14:paraId="45168730" w14:textId="0C4D19E0" w:rsidR="00190F1D" w:rsidRDefault="00190F1D" w:rsidP="00653B56">
      <w:pPr>
        <w:rPr>
          <w:rFonts w:ascii="Verdana" w:hAnsi="Verdana"/>
        </w:rPr>
      </w:pPr>
    </w:p>
    <w:p w14:paraId="04E66D43" w14:textId="2EF71C9D" w:rsidR="00190F1D" w:rsidRDefault="00190F1D" w:rsidP="00653B56">
      <w:pPr>
        <w:rPr>
          <w:rFonts w:ascii="Verdana" w:hAnsi="Verdana"/>
        </w:rPr>
      </w:pPr>
      <w:r>
        <w:rPr>
          <w:rFonts w:ascii="Verdana" w:hAnsi="Verdana"/>
        </w:rPr>
        <w:t xml:space="preserve">One accessory unit can be allowed on any </w:t>
      </w:r>
      <w:r w:rsidR="00B87D84">
        <w:rPr>
          <w:rFonts w:ascii="Verdana" w:hAnsi="Verdana"/>
        </w:rPr>
        <w:t>residential detached home property, provided standards are met.</w:t>
      </w:r>
    </w:p>
    <w:p w14:paraId="59117EA3" w14:textId="0F34179F" w:rsidR="00B87D84" w:rsidRDefault="00B87D84" w:rsidP="00653B56">
      <w:pPr>
        <w:rPr>
          <w:rFonts w:ascii="Verdana" w:hAnsi="Verdana"/>
        </w:rPr>
      </w:pPr>
    </w:p>
    <w:p w14:paraId="5C7AF185" w14:textId="58D7D777" w:rsidR="00B87D84" w:rsidRPr="0002697C" w:rsidRDefault="00B87D84" w:rsidP="00653B56">
      <w:pPr>
        <w:rPr>
          <w:rFonts w:ascii="Verdana" w:hAnsi="Verdana"/>
          <w:b/>
          <w:bCs/>
          <w:u w:val="single"/>
        </w:rPr>
      </w:pPr>
      <w:r w:rsidRPr="0002697C">
        <w:rPr>
          <w:rFonts w:ascii="Verdana" w:hAnsi="Verdana"/>
          <w:b/>
          <w:bCs/>
          <w:u w:val="single"/>
        </w:rPr>
        <w:t>PROCEDURE</w:t>
      </w:r>
    </w:p>
    <w:p w14:paraId="6B71E0C5" w14:textId="0AC8DF07" w:rsidR="008465C4" w:rsidRDefault="008465C4" w:rsidP="00653B56">
      <w:pPr>
        <w:rPr>
          <w:rFonts w:ascii="Verdana" w:hAnsi="Verdana"/>
        </w:rPr>
      </w:pPr>
    </w:p>
    <w:p w14:paraId="752D9DA1" w14:textId="01E3EC11" w:rsidR="00186072" w:rsidRPr="00186072" w:rsidRDefault="00186072" w:rsidP="00043C21">
      <w:pPr>
        <w:pStyle w:val="ListParagraph"/>
        <w:numPr>
          <w:ilvl w:val="0"/>
          <w:numId w:val="16"/>
        </w:numPr>
        <w:rPr>
          <w:rFonts w:ascii="Verdana" w:hAnsi="Verdana"/>
        </w:rPr>
      </w:pPr>
      <w:r w:rsidRPr="00186072">
        <w:rPr>
          <w:rFonts w:ascii="Verdana" w:hAnsi="Verdana"/>
        </w:rPr>
        <w:t>Check your restrictive covenants and/or HOA to ensure that an ADU is allowed.</w:t>
      </w:r>
    </w:p>
    <w:p w14:paraId="5720D3F4" w14:textId="232C03C1" w:rsidR="008465C4" w:rsidRDefault="008465C4" w:rsidP="008465C4">
      <w:pPr>
        <w:pStyle w:val="ListParagraph"/>
        <w:numPr>
          <w:ilvl w:val="0"/>
          <w:numId w:val="16"/>
        </w:numPr>
        <w:rPr>
          <w:rFonts w:ascii="Verdana" w:hAnsi="Verdana"/>
        </w:rPr>
      </w:pPr>
      <w:r w:rsidRPr="008465C4">
        <w:rPr>
          <w:rFonts w:ascii="Verdana" w:hAnsi="Verdana"/>
        </w:rPr>
        <w:t>Contact the Canton Housing Initiatives Director to confirm you</w:t>
      </w:r>
      <w:r>
        <w:rPr>
          <w:rFonts w:ascii="Verdana" w:hAnsi="Verdana"/>
        </w:rPr>
        <w:t>r</w:t>
      </w:r>
      <w:r w:rsidRPr="008465C4">
        <w:rPr>
          <w:rFonts w:ascii="Verdana" w:hAnsi="Verdana"/>
        </w:rPr>
        <w:t xml:space="preserve"> property</w:t>
      </w:r>
      <w:r w:rsidR="00290BF7">
        <w:rPr>
          <w:rFonts w:ascii="Verdana" w:hAnsi="Verdana"/>
        </w:rPr>
        <w:t xml:space="preserve"> is properly zoned</w:t>
      </w:r>
      <w:r w:rsidRPr="008465C4">
        <w:rPr>
          <w:rFonts w:ascii="Verdana" w:hAnsi="Verdana"/>
        </w:rPr>
        <w:t xml:space="preserve"> and proposed ADU site is permitted.</w:t>
      </w:r>
      <w:r>
        <w:rPr>
          <w:rFonts w:ascii="Verdana" w:hAnsi="Verdana"/>
        </w:rPr>
        <w:t xml:space="preserve"> (770-704-1522 or </w:t>
      </w:r>
      <w:hyperlink r:id="rId7" w:history="1">
        <w:r w:rsidRPr="006943B4">
          <w:rPr>
            <w:rStyle w:val="Hyperlink"/>
            <w:rFonts w:ascii="Verdana" w:hAnsi="Verdana"/>
          </w:rPr>
          <w:t>ken.patton@cantonga.gov</w:t>
        </w:r>
      </w:hyperlink>
      <w:r>
        <w:rPr>
          <w:rFonts w:ascii="Verdana" w:hAnsi="Verdana"/>
        </w:rPr>
        <w:t>)</w:t>
      </w:r>
    </w:p>
    <w:p w14:paraId="2C78CD54" w14:textId="5F0555CB" w:rsidR="008465C4" w:rsidRDefault="008465C4" w:rsidP="008465C4">
      <w:pPr>
        <w:pStyle w:val="ListParagraph"/>
        <w:numPr>
          <w:ilvl w:val="0"/>
          <w:numId w:val="16"/>
        </w:numPr>
        <w:rPr>
          <w:rFonts w:ascii="Verdana" w:hAnsi="Verdana"/>
        </w:rPr>
      </w:pPr>
      <w:r>
        <w:rPr>
          <w:rFonts w:ascii="Verdana" w:hAnsi="Verdana"/>
        </w:rPr>
        <w:t>Submit for a building permit</w:t>
      </w:r>
    </w:p>
    <w:p w14:paraId="6AB93532" w14:textId="5EE16BD1" w:rsidR="008465C4" w:rsidRDefault="008465C4" w:rsidP="008465C4">
      <w:pPr>
        <w:pStyle w:val="ListParagraph"/>
        <w:numPr>
          <w:ilvl w:val="0"/>
          <w:numId w:val="17"/>
        </w:numPr>
        <w:rPr>
          <w:rFonts w:ascii="Verdana" w:hAnsi="Verdana"/>
        </w:rPr>
      </w:pPr>
      <w:r>
        <w:rPr>
          <w:rFonts w:ascii="Verdana" w:hAnsi="Verdana"/>
        </w:rPr>
        <w:t>Site plan showing existing structure and proposed adu location</w:t>
      </w:r>
      <w:r w:rsidR="00CB5AA9">
        <w:rPr>
          <w:rFonts w:ascii="Verdana" w:hAnsi="Verdana"/>
        </w:rPr>
        <w:t>, waterlines, sanitary sewer lines, building setback lines and any easements</w:t>
      </w:r>
    </w:p>
    <w:p w14:paraId="2DC5D5A5" w14:textId="4A158810" w:rsidR="008465C4" w:rsidRDefault="008465C4" w:rsidP="008465C4">
      <w:pPr>
        <w:pStyle w:val="ListParagraph"/>
        <w:numPr>
          <w:ilvl w:val="0"/>
          <w:numId w:val="17"/>
        </w:numPr>
        <w:rPr>
          <w:rFonts w:ascii="Verdana" w:hAnsi="Verdana"/>
        </w:rPr>
      </w:pPr>
      <w:r>
        <w:rPr>
          <w:rFonts w:ascii="Verdana" w:hAnsi="Verdana"/>
        </w:rPr>
        <w:t>Building plan (pre-approved City building plan or your own)</w:t>
      </w:r>
    </w:p>
    <w:p w14:paraId="46AD3D50" w14:textId="77777777" w:rsidR="000B4F09" w:rsidRDefault="000B4F09" w:rsidP="000B4F09">
      <w:pPr>
        <w:rPr>
          <w:rFonts w:ascii="Verdana" w:hAnsi="Verdana"/>
        </w:rPr>
      </w:pPr>
    </w:p>
    <w:p w14:paraId="7F6E68DD" w14:textId="77777777" w:rsidR="000B4F09" w:rsidRDefault="000B4F09" w:rsidP="000B4F09">
      <w:pPr>
        <w:rPr>
          <w:rFonts w:ascii="Verdana" w:hAnsi="Verdana"/>
        </w:rPr>
      </w:pPr>
    </w:p>
    <w:p w14:paraId="7B6D3F7F" w14:textId="77777777" w:rsidR="000B4F09" w:rsidRDefault="000B4F09" w:rsidP="000B4F09">
      <w:pPr>
        <w:rPr>
          <w:rFonts w:ascii="Verdana" w:hAnsi="Verdana"/>
        </w:rPr>
      </w:pPr>
    </w:p>
    <w:p w14:paraId="479DE148" w14:textId="77777777" w:rsidR="000B4F09" w:rsidRDefault="000B4F09" w:rsidP="000B4F09">
      <w:pPr>
        <w:rPr>
          <w:rFonts w:ascii="Verdana" w:hAnsi="Verdana"/>
        </w:rPr>
      </w:pPr>
    </w:p>
    <w:p w14:paraId="1E500556" w14:textId="77777777" w:rsidR="000B4F09" w:rsidRDefault="000B4F09" w:rsidP="000B4F09">
      <w:pPr>
        <w:rPr>
          <w:rFonts w:ascii="Verdana" w:hAnsi="Verdana"/>
        </w:rPr>
      </w:pPr>
    </w:p>
    <w:p w14:paraId="09D75090" w14:textId="77777777" w:rsidR="000B4F09" w:rsidRPr="000B4F09" w:rsidRDefault="000B4F09" w:rsidP="000B4F09">
      <w:pPr>
        <w:shd w:val="clear" w:color="auto" w:fill="FFFFFF"/>
        <w:spacing w:before="100" w:beforeAutospacing="1" w:after="100" w:afterAutospacing="1" w:line="420" w:lineRule="atLeast"/>
        <w:ind w:left="360"/>
        <w:textAlignment w:val="center"/>
        <w:rPr>
          <w:rFonts w:ascii="Arial" w:eastAsia="Times New Roman" w:hAnsi="Arial" w:cs="Arial"/>
          <w:b/>
          <w:bCs/>
          <w:color w:val="313335"/>
          <w:sz w:val="27"/>
          <w:szCs w:val="27"/>
        </w:rPr>
      </w:pPr>
      <w:r w:rsidRPr="000B4F09">
        <w:rPr>
          <w:rFonts w:ascii="Arial" w:eastAsia="Times New Roman" w:hAnsi="Arial" w:cs="Arial"/>
          <w:b/>
          <w:bCs/>
          <w:color w:val="313335"/>
          <w:sz w:val="27"/>
          <w:szCs w:val="27"/>
        </w:rPr>
        <w:lastRenderedPageBreak/>
        <w:t>104.02.02 - Accessory dwelling units.</w:t>
      </w:r>
    </w:p>
    <w:p w14:paraId="3625C9D0" w14:textId="6D9B301E" w:rsidR="000B4F09" w:rsidRPr="000B4F09" w:rsidRDefault="000B4F09" w:rsidP="000B4F09">
      <w:pPr>
        <w:shd w:val="clear" w:color="auto" w:fill="FFFFFF"/>
        <w:spacing w:before="100" w:beforeAutospacing="1" w:after="100" w:afterAutospacing="1"/>
        <w:rPr>
          <w:rFonts w:ascii="Arial" w:eastAsia="Times New Roman" w:hAnsi="Arial" w:cs="Arial"/>
          <w:color w:val="313335"/>
          <w:spacing w:val="2"/>
          <w:sz w:val="21"/>
          <w:szCs w:val="21"/>
        </w:rPr>
      </w:pPr>
      <w:r w:rsidRPr="000B4F09">
        <w:rPr>
          <w:rFonts w:ascii="Arial" w:eastAsia="Times New Roman" w:hAnsi="Arial" w:cs="Arial"/>
          <w:color w:val="313335"/>
          <w:spacing w:val="2"/>
          <w:sz w:val="21"/>
          <w:szCs w:val="21"/>
        </w:rPr>
        <w:t>A.</w:t>
      </w:r>
      <w:r>
        <w:rPr>
          <w:rFonts w:ascii="Arial" w:eastAsia="Times New Roman" w:hAnsi="Arial" w:cs="Arial"/>
          <w:color w:val="313335"/>
          <w:spacing w:val="2"/>
          <w:sz w:val="21"/>
          <w:szCs w:val="21"/>
        </w:rPr>
        <w:t xml:space="preserve">  </w:t>
      </w:r>
      <w:r w:rsidRPr="000B4F09">
        <w:rPr>
          <w:rFonts w:ascii="Arial" w:eastAsia="Times New Roman" w:hAnsi="Arial" w:cs="Arial"/>
          <w:i/>
          <w:iCs/>
          <w:color w:val="313335"/>
          <w:spacing w:val="2"/>
          <w:sz w:val="21"/>
          <w:szCs w:val="21"/>
        </w:rPr>
        <w:t>Generally.</w:t>
      </w:r>
    </w:p>
    <w:p w14:paraId="604D0117" w14:textId="75EB5FAD" w:rsidR="000B4F09" w:rsidRPr="000B4F09" w:rsidRDefault="000B4F09" w:rsidP="000B4F09">
      <w:pPr>
        <w:shd w:val="clear" w:color="auto" w:fill="FFFFFF"/>
        <w:spacing w:before="100" w:beforeAutospacing="1" w:after="100" w:afterAutospacing="1"/>
        <w:ind w:left="720"/>
        <w:rPr>
          <w:rFonts w:ascii="Arial" w:eastAsia="Times New Roman" w:hAnsi="Arial" w:cs="Arial"/>
          <w:color w:val="313335"/>
          <w:spacing w:val="2"/>
          <w:sz w:val="21"/>
          <w:szCs w:val="21"/>
        </w:rPr>
      </w:pPr>
      <w:r w:rsidRPr="000B4F09">
        <w:rPr>
          <w:rFonts w:ascii="Arial" w:eastAsia="Times New Roman" w:hAnsi="Arial" w:cs="Arial"/>
          <w:color w:val="313335"/>
          <w:spacing w:val="2"/>
          <w:sz w:val="21"/>
          <w:szCs w:val="21"/>
        </w:rPr>
        <w:t>1)</w:t>
      </w:r>
      <w:r>
        <w:rPr>
          <w:rFonts w:ascii="Arial" w:eastAsia="Times New Roman" w:hAnsi="Arial" w:cs="Arial"/>
          <w:color w:val="313335"/>
          <w:spacing w:val="2"/>
          <w:sz w:val="21"/>
          <w:szCs w:val="21"/>
        </w:rPr>
        <w:t xml:space="preserve"> </w:t>
      </w:r>
      <w:r w:rsidRPr="000B4F09">
        <w:rPr>
          <w:rFonts w:ascii="Arial" w:eastAsia="Times New Roman" w:hAnsi="Arial" w:cs="Arial"/>
          <w:color w:val="313335"/>
          <w:spacing w:val="2"/>
          <w:sz w:val="21"/>
          <w:szCs w:val="21"/>
        </w:rPr>
        <w:t>Accessory dwellings include, but are not limited to, basement apartments, garage apartments, caretaker quarters, guesthouses, and other accessory dwellings.</w:t>
      </w:r>
    </w:p>
    <w:p w14:paraId="15B63893" w14:textId="79B38717" w:rsidR="000B4F09" w:rsidRPr="000B4F09" w:rsidRDefault="000B4F09" w:rsidP="000B4F09">
      <w:pPr>
        <w:shd w:val="clear" w:color="auto" w:fill="FFFFFF"/>
        <w:spacing w:before="100" w:beforeAutospacing="1" w:after="100" w:afterAutospacing="1"/>
        <w:ind w:left="720"/>
        <w:rPr>
          <w:rFonts w:ascii="Arial" w:eastAsia="Times New Roman" w:hAnsi="Arial" w:cs="Arial"/>
          <w:color w:val="313335"/>
          <w:spacing w:val="2"/>
          <w:sz w:val="21"/>
          <w:szCs w:val="21"/>
        </w:rPr>
      </w:pPr>
      <w:r w:rsidRPr="000B4F09">
        <w:rPr>
          <w:rFonts w:ascii="Arial" w:eastAsia="Times New Roman" w:hAnsi="Arial" w:cs="Arial"/>
          <w:color w:val="313335"/>
          <w:spacing w:val="2"/>
          <w:sz w:val="21"/>
          <w:szCs w:val="21"/>
        </w:rPr>
        <w:t>2)</w:t>
      </w:r>
      <w:r>
        <w:rPr>
          <w:rFonts w:ascii="Arial" w:eastAsia="Times New Roman" w:hAnsi="Arial" w:cs="Arial"/>
          <w:color w:val="313335"/>
          <w:spacing w:val="2"/>
          <w:sz w:val="21"/>
          <w:szCs w:val="21"/>
        </w:rPr>
        <w:t xml:space="preserve"> </w:t>
      </w:r>
      <w:r w:rsidRPr="000B4F09">
        <w:rPr>
          <w:rFonts w:ascii="Arial" w:eastAsia="Times New Roman" w:hAnsi="Arial" w:cs="Arial"/>
          <w:color w:val="313335"/>
          <w:spacing w:val="2"/>
          <w:sz w:val="21"/>
          <w:szCs w:val="21"/>
        </w:rPr>
        <w:t>Accessory dwellings shall not include tents, boats, manufactured storage buildings and mobile structures including RV's and travel trailers, with the exception that RV's and travel trailers may be allowed for occupancy in a campground or travel trailer park as permitted in this UDC.</w:t>
      </w:r>
    </w:p>
    <w:p w14:paraId="796A9810" w14:textId="3093E0B3" w:rsidR="000B4F09" w:rsidRPr="000B4F09" w:rsidRDefault="000B4F09" w:rsidP="000B4F09">
      <w:pPr>
        <w:shd w:val="clear" w:color="auto" w:fill="FFFFFF"/>
        <w:spacing w:before="100" w:beforeAutospacing="1" w:after="100" w:afterAutospacing="1"/>
        <w:ind w:left="720"/>
        <w:rPr>
          <w:rFonts w:ascii="Arial" w:eastAsia="Times New Roman" w:hAnsi="Arial" w:cs="Arial"/>
          <w:color w:val="313335"/>
          <w:spacing w:val="2"/>
          <w:sz w:val="21"/>
          <w:szCs w:val="21"/>
        </w:rPr>
      </w:pPr>
      <w:r w:rsidRPr="000B4F09">
        <w:rPr>
          <w:rFonts w:ascii="Arial" w:eastAsia="Times New Roman" w:hAnsi="Arial" w:cs="Arial"/>
          <w:color w:val="313335"/>
          <w:spacing w:val="2"/>
          <w:sz w:val="21"/>
          <w:szCs w:val="21"/>
        </w:rPr>
        <w:t>3)</w:t>
      </w:r>
      <w:r>
        <w:rPr>
          <w:rFonts w:ascii="Arial" w:eastAsia="Times New Roman" w:hAnsi="Arial" w:cs="Arial"/>
          <w:color w:val="313335"/>
          <w:spacing w:val="2"/>
          <w:sz w:val="21"/>
          <w:szCs w:val="21"/>
        </w:rPr>
        <w:t xml:space="preserve"> </w:t>
      </w:r>
      <w:r w:rsidRPr="000B4F09">
        <w:rPr>
          <w:rFonts w:ascii="Arial" w:eastAsia="Times New Roman" w:hAnsi="Arial" w:cs="Arial"/>
          <w:color w:val="313335"/>
          <w:spacing w:val="2"/>
          <w:sz w:val="21"/>
          <w:szCs w:val="21"/>
        </w:rPr>
        <w:t>Accessory dwellings are permissible within the principal dwelling or as a freestanding dwelling in residential zoning districts.</w:t>
      </w:r>
    </w:p>
    <w:p w14:paraId="26DE1AC6" w14:textId="4734C07A" w:rsidR="000B4F09" w:rsidRPr="000B4F09" w:rsidRDefault="000B4F09" w:rsidP="000B4F09">
      <w:pPr>
        <w:shd w:val="clear" w:color="auto" w:fill="FFFFFF"/>
        <w:spacing w:before="100" w:beforeAutospacing="1" w:after="100" w:afterAutospacing="1"/>
        <w:rPr>
          <w:rFonts w:ascii="Arial" w:eastAsia="Times New Roman" w:hAnsi="Arial" w:cs="Arial"/>
          <w:color w:val="313335"/>
          <w:spacing w:val="2"/>
          <w:sz w:val="21"/>
          <w:szCs w:val="21"/>
        </w:rPr>
      </w:pPr>
      <w:r w:rsidRPr="000B4F09">
        <w:rPr>
          <w:rFonts w:ascii="Arial" w:eastAsia="Times New Roman" w:hAnsi="Arial" w:cs="Arial"/>
          <w:color w:val="313335"/>
          <w:spacing w:val="2"/>
          <w:sz w:val="21"/>
          <w:szCs w:val="21"/>
        </w:rPr>
        <w:t>B.</w:t>
      </w:r>
      <w:r>
        <w:rPr>
          <w:rFonts w:ascii="Arial" w:eastAsia="Times New Roman" w:hAnsi="Arial" w:cs="Arial"/>
          <w:color w:val="313335"/>
          <w:spacing w:val="2"/>
          <w:sz w:val="21"/>
          <w:szCs w:val="21"/>
        </w:rPr>
        <w:t xml:space="preserve">  </w:t>
      </w:r>
      <w:r w:rsidRPr="000B4F09">
        <w:rPr>
          <w:rFonts w:ascii="Arial" w:eastAsia="Times New Roman" w:hAnsi="Arial" w:cs="Arial"/>
          <w:i/>
          <w:iCs/>
          <w:color w:val="313335"/>
          <w:spacing w:val="2"/>
          <w:sz w:val="21"/>
          <w:szCs w:val="21"/>
        </w:rPr>
        <w:t>Within principal dwelling.</w:t>
      </w:r>
      <w:r w:rsidRPr="000B4F09">
        <w:rPr>
          <w:rFonts w:ascii="Arial" w:eastAsia="Times New Roman" w:hAnsi="Arial" w:cs="Arial"/>
          <w:color w:val="313335"/>
          <w:spacing w:val="2"/>
          <w:sz w:val="21"/>
          <w:szCs w:val="21"/>
        </w:rPr>
        <w:t> Accessory dwellings contained within a principal dwelling shall comply with the following standards:</w:t>
      </w:r>
    </w:p>
    <w:p w14:paraId="27DEAC91" w14:textId="6BB29D43" w:rsidR="000B4F09" w:rsidRPr="000B4F09" w:rsidRDefault="000B4F09" w:rsidP="000B4F09">
      <w:pPr>
        <w:shd w:val="clear" w:color="auto" w:fill="FFFFFF"/>
        <w:spacing w:before="100" w:beforeAutospacing="1" w:after="100" w:afterAutospacing="1"/>
        <w:ind w:left="720"/>
        <w:rPr>
          <w:rFonts w:ascii="Arial" w:eastAsia="Times New Roman" w:hAnsi="Arial" w:cs="Arial"/>
          <w:color w:val="313335"/>
          <w:spacing w:val="2"/>
          <w:sz w:val="21"/>
          <w:szCs w:val="21"/>
        </w:rPr>
      </w:pPr>
      <w:r w:rsidRPr="000B4F09">
        <w:rPr>
          <w:rFonts w:ascii="Arial" w:eastAsia="Times New Roman" w:hAnsi="Arial" w:cs="Arial"/>
          <w:color w:val="313335"/>
          <w:spacing w:val="2"/>
          <w:sz w:val="21"/>
          <w:szCs w:val="21"/>
        </w:rPr>
        <w:t>1)</w:t>
      </w:r>
      <w:r>
        <w:rPr>
          <w:rFonts w:ascii="Arial" w:eastAsia="Times New Roman" w:hAnsi="Arial" w:cs="Arial"/>
          <w:color w:val="313335"/>
          <w:spacing w:val="2"/>
          <w:sz w:val="21"/>
          <w:szCs w:val="21"/>
        </w:rPr>
        <w:t xml:space="preserve"> </w:t>
      </w:r>
      <w:r w:rsidRPr="000B4F09">
        <w:rPr>
          <w:rFonts w:ascii="Arial" w:eastAsia="Times New Roman" w:hAnsi="Arial" w:cs="Arial"/>
          <w:color w:val="313335"/>
          <w:spacing w:val="2"/>
          <w:sz w:val="21"/>
          <w:szCs w:val="21"/>
        </w:rPr>
        <w:t>There shall be no more than one accessory dwelling in a principal dwelling unit.</w:t>
      </w:r>
    </w:p>
    <w:p w14:paraId="1C3AAF01" w14:textId="6917E762" w:rsidR="000B4F09" w:rsidRPr="000B4F09" w:rsidRDefault="000B4F09" w:rsidP="000B4F09">
      <w:pPr>
        <w:shd w:val="clear" w:color="auto" w:fill="FFFFFF"/>
        <w:spacing w:before="100" w:beforeAutospacing="1" w:after="100" w:afterAutospacing="1"/>
        <w:ind w:left="720"/>
        <w:rPr>
          <w:rFonts w:ascii="Arial" w:eastAsia="Times New Roman" w:hAnsi="Arial" w:cs="Arial"/>
          <w:color w:val="313335"/>
          <w:spacing w:val="2"/>
          <w:sz w:val="21"/>
          <w:szCs w:val="21"/>
        </w:rPr>
      </w:pPr>
      <w:r w:rsidRPr="000B4F09">
        <w:rPr>
          <w:rFonts w:ascii="Arial" w:eastAsia="Times New Roman" w:hAnsi="Arial" w:cs="Arial"/>
          <w:color w:val="313335"/>
          <w:spacing w:val="2"/>
          <w:sz w:val="21"/>
          <w:szCs w:val="21"/>
        </w:rPr>
        <w:t>2)</w:t>
      </w:r>
      <w:r>
        <w:rPr>
          <w:rFonts w:ascii="Arial" w:eastAsia="Times New Roman" w:hAnsi="Arial" w:cs="Arial"/>
          <w:color w:val="313335"/>
          <w:spacing w:val="2"/>
          <w:sz w:val="21"/>
          <w:szCs w:val="21"/>
        </w:rPr>
        <w:t xml:space="preserve"> </w:t>
      </w:r>
      <w:r w:rsidRPr="000B4F09">
        <w:rPr>
          <w:rFonts w:ascii="Arial" w:eastAsia="Times New Roman" w:hAnsi="Arial" w:cs="Arial"/>
          <w:color w:val="313335"/>
          <w:spacing w:val="2"/>
          <w:sz w:val="21"/>
          <w:szCs w:val="21"/>
        </w:rPr>
        <w:t>The accessory dwelling shall be accessible from the interior of the principal dwelling.</w:t>
      </w:r>
    </w:p>
    <w:p w14:paraId="65852394" w14:textId="101F5E0F" w:rsidR="000B4F09" w:rsidRPr="000B4F09" w:rsidRDefault="000B4F09" w:rsidP="000B4F09">
      <w:pPr>
        <w:shd w:val="clear" w:color="auto" w:fill="FFFFFF"/>
        <w:spacing w:before="100" w:beforeAutospacing="1" w:after="100" w:afterAutospacing="1"/>
        <w:ind w:left="720"/>
        <w:rPr>
          <w:rFonts w:ascii="Arial" w:eastAsia="Times New Roman" w:hAnsi="Arial" w:cs="Arial"/>
          <w:color w:val="313335"/>
          <w:spacing w:val="2"/>
          <w:sz w:val="21"/>
          <w:szCs w:val="21"/>
        </w:rPr>
      </w:pPr>
      <w:r w:rsidRPr="000B4F09">
        <w:rPr>
          <w:rFonts w:ascii="Arial" w:eastAsia="Times New Roman" w:hAnsi="Arial" w:cs="Arial"/>
          <w:color w:val="313335"/>
          <w:spacing w:val="2"/>
          <w:sz w:val="21"/>
          <w:szCs w:val="21"/>
        </w:rPr>
        <w:t>3)</w:t>
      </w:r>
      <w:r>
        <w:rPr>
          <w:rFonts w:ascii="Arial" w:eastAsia="Times New Roman" w:hAnsi="Arial" w:cs="Arial"/>
          <w:color w:val="313335"/>
          <w:spacing w:val="2"/>
          <w:sz w:val="21"/>
          <w:szCs w:val="21"/>
        </w:rPr>
        <w:t xml:space="preserve"> </w:t>
      </w:r>
      <w:r w:rsidRPr="000B4F09">
        <w:rPr>
          <w:rFonts w:ascii="Arial" w:eastAsia="Times New Roman" w:hAnsi="Arial" w:cs="Arial"/>
          <w:color w:val="313335"/>
          <w:spacing w:val="2"/>
          <w:sz w:val="21"/>
          <w:szCs w:val="21"/>
        </w:rPr>
        <w:t>The accessory dwelling shall have no more than one bedroom.</w:t>
      </w:r>
    </w:p>
    <w:p w14:paraId="4835A73F" w14:textId="19D07670" w:rsidR="000B4F09" w:rsidRPr="000B4F09" w:rsidRDefault="000B4F09" w:rsidP="000B4F09">
      <w:pPr>
        <w:shd w:val="clear" w:color="auto" w:fill="FFFFFF"/>
        <w:spacing w:before="100" w:beforeAutospacing="1" w:after="100" w:afterAutospacing="1"/>
        <w:ind w:left="720"/>
        <w:rPr>
          <w:rFonts w:ascii="Arial" w:eastAsia="Times New Roman" w:hAnsi="Arial" w:cs="Arial"/>
          <w:color w:val="313335"/>
          <w:spacing w:val="2"/>
          <w:sz w:val="21"/>
          <w:szCs w:val="21"/>
        </w:rPr>
      </w:pPr>
      <w:r w:rsidRPr="000B4F09">
        <w:rPr>
          <w:rFonts w:ascii="Arial" w:eastAsia="Times New Roman" w:hAnsi="Arial" w:cs="Arial"/>
          <w:color w:val="313335"/>
          <w:spacing w:val="2"/>
          <w:sz w:val="21"/>
          <w:szCs w:val="21"/>
        </w:rPr>
        <w:t>4)</w:t>
      </w:r>
      <w:r>
        <w:rPr>
          <w:rFonts w:ascii="Arial" w:eastAsia="Times New Roman" w:hAnsi="Arial" w:cs="Arial"/>
          <w:color w:val="313335"/>
          <w:spacing w:val="2"/>
          <w:sz w:val="21"/>
          <w:szCs w:val="21"/>
        </w:rPr>
        <w:t xml:space="preserve"> </w:t>
      </w:r>
      <w:r w:rsidRPr="000B4F09">
        <w:rPr>
          <w:rFonts w:ascii="Arial" w:eastAsia="Times New Roman" w:hAnsi="Arial" w:cs="Arial"/>
          <w:color w:val="313335"/>
          <w:spacing w:val="2"/>
          <w:sz w:val="21"/>
          <w:szCs w:val="21"/>
        </w:rPr>
        <w:t>The accessory dwelling shall not exceed 50 percent of the habitable floor area of the principal dwelling or 1,200 square feet, whichever is less.</w:t>
      </w:r>
    </w:p>
    <w:p w14:paraId="29130D75" w14:textId="6B1E6FBA" w:rsidR="000B4F09" w:rsidRPr="000B4F09" w:rsidRDefault="000B4F09" w:rsidP="000B4F09">
      <w:pPr>
        <w:shd w:val="clear" w:color="auto" w:fill="FFFFFF"/>
        <w:spacing w:before="100" w:beforeAutospacing="1" w:after="100" w:afterAutospacing="1"/>
        <w:ind w:left="720"/>
        <w:rPr>
          <w:rFonts w:ascii="Arial" w:eastAsia="Times New Roman" w:hAnsi="Arial" w:cs="Arial"/>
          <w:color w:val="313335"/>
          <w:spacing w:val="2"/>
          <w:sz w:val="21"/>
          <w:szCs w:val="21"/>
        </w:rPr>
      </w:pPr>
      <w:r w:rsidRPr="000B4F09">
        <w:rPr>
          <w:rFonts w:ascii="Arial" w:eastAsia="Times New Roman" w:hAnsi="Arial" w:cs="Arial"/>
          <w:color w:val="313335"/>
          <w:spacing w:val="2"/>
          <w:sz w:val="21"/>
          <w:szCs w:val="21"/>
        </w:rPr>
        <w:t>5)</w:t>
      </w:r>
      <w:r>
        <w:rPr>
          <w:rFonts w:ascii="Arial" w:eastAsia="Times New Roman" w:hAnsi="Arial" w:cs="Arial"/>
          <w:color w:val="313335"/>
          <w:spacing w:val="2"/>
          <w:sz w:val="21"/>
          <w:szCs w:val="21"/>
        </w:rPr>
        <w:t xml:space="preserve"> </w:t>
      </w:r>
      <w:r w:rsidRPr="000B4F09">
        <w:rPr>
          <w:rFonts w:ascii="Arial" w:eastAsia="Times New Roman" w:hAnsi="Arial" w:cs="Arial"/>
          <w:color w:val="313335"/>
          <w:spacing w:val="2"/>
          <w:sz w:val="21"/>
          <w:szCs w:val="21"/>
        </w:rPr>
        <w:t>One additional off-street parking space shall be provided to serve the accessory dwelling; and</w:t>
      </w:r>
    </w:p>
    <w:p w14:paraId="7B51EFBB" w14:textId="6B1E6878" w:rsidR="000B4F09" w:rsidRPr="000B4F09" w:rsidRDefault="000B4F09" w:rsidP="000B4F09">
      <w:pPr>
        <w:shd w:val="clear" w:color="auto" w:fill="FFFFFF"/>
        <w:spacing w:before="100" w:beforeAutospacing="1" w:after="100" w:afterAutospacing="1"/>
        <w:ind w:left="720"/>
        <w:rPr>
          <w:rFonts w:ascii="Arial" w:eastAsia="Times New Roman" w:hAnsi="Arial" w:cs="Arial"/>
          <w:color w:val="313335"/>
          <w:spacing w:val="2"/>
          <w:sz w:val="21"/>
          <w:szCs w:val="21"/>
        </w:rPr>
      </w:pPr>
      <w:r w:rsidRPr="000B4F09">
        <w:rPr>
          <w:rFonts w:ascii="Arial" w:eastAsia="Times New Roman" w:hAnsi="Arial" w:cs="Arial"/>
          <w:color w:val="313335"/>
          <w:spacing w:val="2"/>
          <w:sz w:val="21"/>
          <w:szCs w:val="21"/>
        </w:rPr>
        <w:t>6)</w:t>
      </w:r>
      <w:r>
        <w:rPr>
          <w:rFonts w:ascii="Arial" w:eastAsia="Times New Roman" w:hAnsi="Arial" w:cs="Arial"/>
          <w:color w:val="313335"/>
          <w:spacing w:val="2"/>
          <w:sz w:val="21"/>
          <w:szCs w:val="21"/>
        </w:rPr>
        <w:t xml:space="preserve"> </w:t>
      </w:r>
      <w:r w:rsidRPr="000B4F09">
        <w:rPr>
          <w:rFonts w:ascii="Arial" w:eastAsia="Times New Roman" w:hAnsi="Arial" w:cs="Arial"/>
          <w:color w:val="313335"/>
          <w:spacing w:val="2"/>
          <w:sz w:val="21"/>
          <w:szCs w:val="21"/>
        </w:rPr>
        <w:t>The accessory dwelling shall comply with all building and health code standards.</w:t>
      </w:r>
    </w:p>
    <w:p w14:paraId="3300B5BD" w14:textId="1AD5F424" w:rsidR="000B4F09" w:rsidRPr="000B4F09" w:rsidRDefault="000B4F09" w:rsidP="000B4F09">
      <w:pPr>
        <w:shd w:val="clear" w:color="auto" w:fill="FFFFFF"/>
        <w:spacing w:before="100" w:beforeAutospacing="1" w:after="100" w:afterAutospacing="1"/>
        <w:rPr>
          <w:rFonts w:ascii="Arial" w:eastAsia="Times New Roman" w:hAnsi="Arial" w:cs="Arial"/>
          <w:color w:val="313335"/>
          <w:spacing w:val="2"/>
          <w:sz w:val="21"/>
          <w:szCs w:val="21"/>
        </w:rPr>
      </w:pPr>
      <w:r w:rsidRPr="000B4F09">
        <w:rPr>
          <w:rFonts w:ascii="Arial" w:eastAsia="Times New Roman" w:hAnsi="Arial" w:cs="Arial"/>
          <w:color w:val="313335"/>
          <w:spacing w:val="2"/>
          <w:sz w:val="21"/>
          <w:szCs w:val="21"/>
        </w:rPr>
        <w:t>C.</w:t>
      </w:r>
      <w:r>
        <w:rPr>
          <w:rFonts w:ascii="Arial" w:eastAsia="Times New Roman" w:hAnsi="Arial" w:cs="Arial"/>
          <w:color w:val="313335"/>
          <w:spacing w:val="2"/>
          <w:sz w:val="21"/>
          <w:szCs w:val="21"/>
        </w:rPr>
        <w:t xml:space="preserve">  </w:t>
      </w:r>
      <w:r w:rsidRPr="000B4F09">
        <w:rPr>
          <w:rFonts w:ascii="Arial" w:eastAsia="Times New Roman" w:hAnsi="Arial" w:cs="Arial"/>
          <w:i/>
          <w:iCs/>
          <w:color w:val="313335"/>
          <w:spacing w:val="2"/>
          <w:sz w:val="21"/>
          <w:szCs w:val="21"/>
        </w:rPr>
        <w:t>As freestanding dwelling.</w:t>
      </w:r>
      <w:r w:rsidRPr="000B4F09">
        <w:rPr>
          <w:rFonts w:ascii="Arial" w:eastAsia="Times New Roman" w:hAnsi="Arial" w:cs="Arial"/>
          <w:color w:val="313335"/>
          <w:spacing w:val="2"/>
          <w:sz w:val="21"/>
          <w:szCs w:val="21"/>
        </w:rPr>
        <w:t> Freestanding accessory dwellings shall comply with the following standards:</w:t>
      </w:r>
    </w:p>
    <w:p w14:paraId="31BDB9D2" w14:textId="0C0CE2A6" w:rsidR="000B4F09" w:rsidRPr="000B4F09" w:rsidRDefault="000B4F09" w:rsidP="000B4F09">
      <w:pPr>
        <w:shd w:val="clear" w:color="auto" w:fill="FFFFFF"/>
        <w:spacing w:before="100" w:beforeAutospacing="1" w:after="100" w:afterAutospacing="1"/>
        <w:ind w:left="720"/>
        <w:rPr>
          <w:rFonts w:ascii="Arial" w:eastAsia="Times New Roman" w:hAnsi="Arial" w:cs="Arial"/>
          <w:color w:val="313335"/>
          <w:spacing w:val="2"/>
          <w:sz w:val="21"/>
          <w:szCs w:val="21"/>
        </w:rPr>
      </w:pPr>
      <w:r w:rsidRPr="000B4F09">
        <w:rPr>
          <w:rFonts w:ascii="Arial" w:eastAsia="Times New Roman" w:hAnsi="Arial" w:cs="Arial"/>
          <w:color w:val="313335"/>
          <w:spacing w:val="2"/>
          <w:sz w:val="21"/>
          <w:szCs w:val="21"/>
        </w:rPr>
        <w:t>1)</w:t>
      </w:r>
      <w:r>
        <w:rPr>
          <w:rFonts w:ascii="Arial" w:eastAsia="Times New Roman" w:hAnsi="Arial" w:cs="Arial"/>
          <w:color w:val="313335"/>
          <w:spacing w:val="2"/>
          <w:sz w:val="21"/>
          <w:szCs w:val="21"/>
        </w:rPr>
        <w:t xml:space="preserve"> </w:t>
      </w:r>
      <w:r w:rsidRPr="000B4F09">
        <w:rPr>
          <w:rFonts w:ascii="Arial" w:eastAsia="Times New Roman" w:hAnsi="Arial" w:cs="Arial"/>
          <w:color w:val="313335"/>
          <w:spacing w:val="2"/>
          <w:sz w:val="21"/>
          <w:szCs w:val="21"/>
        </w:rPr>
        <w:t>There shall be no more than one accessory dwelling unit per lot.</w:t>
      </w:r>
    </w:p>
    <w:p w14:paraId="32284E16" w14:textId="6A2B1309" w:rsidR="000B4F09" w:rsidRPr="000B4F09" w:rsidRDefault="000B4F09" w:rsidP="000B4F09">
      <w:pPr>
        <w:shd w:val="clear" w:color="auto" w:fill="FFFFFF"/>
        <w:spacing w:before="100" w:beforeAutospacing="1" w:after="100" w:afterAutospacing="1"/>
        <w:ind w:left="720"/>
        <w:rPr>
          <w:rFonts w:ascii="Arial" w:eastAsia="Times New Roman" w:hAnsi="Arial" w:cs="Arial"/>
          <w:color w:val="313335"/>
          <w:spacing w:val="2"/>
          <w:sz w:val="21"/>
          <w:szCs w:val="21"/>
        </w:rPr>
      </w:pPr>
      <w:r w:rsidRPr="000B4F09">
        <w:rPr>
          <w:rFonts w:ascii="Arial" w:eastAsia="Times New Roman" w:hAnsi="Arial" w:cs="Arial"/>
          <w:color w:val="313335"/>
          <w:spacing w:val="2"/>
          <w:sz w:val="21"/>
          <w:szCs w:val="21"/>
        </w:rPr>
        <w:t>2)</w:t>
      </w:r>
      <w:r>
        <w:rPr>
          <w:rFonts w:ascii="Arial" w:eastAsia="Times New Roman" w:hAnsi="Arial" w:cs="Arial"/>
          <w:color w:val="313335"/>
          <w:spacing w:val="2"/>
          <w:sz w:val="21"/>
          <w:szCs w:val="21"/>
        </w:rPr>
        <w:t xml:space="preserve"> </w:t>
      </w:r>
      <w:r w:rsidRPr="000B4F09">
        <w:rPr>
          <w:rFonts w:ascii="Arial" w:eastAsia="Times New Roman" w:hAnsi="Arial" w:cs="Arial"/>
          <w:color w:val="313335"/>
          <w:spacing w:val="2"/>
          <w:sz w:val="21"/>
          <w:szCs w:val="21"/>
        </w:rPr>
        <w:t>The accessory dwelling unit may be in a second floor over a detached garage or may be a separate structure.</w:t>
      </w:r>
    </w:p>
    <w:p w14:paraId="2B4A85F9" w14:textId="41DD6A34" w:rsidR="000B4F09" w:rsidRPr="000B4F09" w:rsidRDefault="000B4F09" w:rsidP="000B4F09">
      <w:pPr>
        <w:shd w:val="clear" w:color="auto" w:fill="FFFFFF"/>
        <w:spacing w:before="100" w:beforeAutospacing="1" w:after="100" w:afterAutospacing="1"/>
        <w:ind w:left="720"/>
        <w:rPr>
          <w:rFonts w:ascii="Arial" w:eastAsia="Times New Roman" w:hAnsi="Arial" w:cs="Arial"/>
          <w:color w:val="313335"/>
          <w:spacing w:val="2"/>
          <w:sz w:val="21"/>
          <w:szCs w:val="21"/>
        </w:rPr>
      </w:pPr>
      <w:r w:rsidRPr="000B4F09">
        <w:rPr>
          <w:rFonts w:ascii="Arial" w:eastAsia="Times New Roman" w:hAnsi="Arial" w:cs="Arial"/>
          <w:color w:val="313335"/>
          <w:spacing w:val="2"/>
          <w:sz w:val="21"/>
          <w:szCs w:val="21"/>
        </w:rPr>
        <w:t>3)</w:t>
      </w:r>
      <w:r>
        <w:rPr>
          <w:rFonts w:ascii="Arial" w:eastAsia="Times New Roman" w:hAnsi="Arial" w:cs="Arial"/>
          <w:color w:val="313335"/>
          <w:spacing w:val="2"/>
          <w:sz w:val="21"/>
          <w:szCs w:val="21"/>
        </w:rPr>
        <w:t xml:space="preserve"> </w:t>
      </w:r>
      <w:r w:rsidRPr="000B4F09">
        <w:rPr>
          <w:rFonts w:ascii="Arial" w:eastAsia="Times New Roman" w:hAnsi="Arial" w:cs="Arial"/>
          <w:color w:val="313335"/>
          <w:spacing w:val="2"/>
          <w:sz w:val="21"/>
          <w:szCs w:val="21"/>
        </w:rPr>
        <w:t>The accessory dwelling unit shall have no more than two bedrooms.</w:t>
      </w:r>
    </w:p>
    <w:p w14:paraId="2AE7C84B" w14:textId="448DF774" w:rsidR="000B4F09" w:rsidRPr="000B4F09" w:rsidRDefault="000B4F09" w:rsidP="000B4F09">
      <w:pPr>
        <w:shd w:val="clear" w:color="auto" w:fill="FFFFFF"/>
        <w:spacing w:before="100" w:beforeAutospacing="1" w:after="100" w:afterAutospacing="1"/>
        <w:ind w:left="720"/>
        <w:rPr>
          <w:rFonts w:ascii="Arial" w:eastAsia="Times New Roman" w:hAnsi="Arial" w:cs="Arial"/>
          <w:color w:val="313335"/>
          <w:spacing w:val="2"/>
          <w:sz w:val="21"/>
          <w:szCs w:val="21"/>
        </w:rPr>
      </w:pPr>
      <w:r w:rsidRPr="000B4F09">
        <w:rPr>
          <w:rFonts w:ascii="Arial" w:eastAsia="Times New Roman" w:hAnsi="Arial" w:cs="Arial"/>
          <w:color w:val="313335"/>
          <w:spacing w:val="2"/>
          <w:sz w:val="21"/>
          <w:szCs w:val="21"/>
        </w:rPr>
        <w:t>4)</w:t>
      </w:r>
      <w:r>
        <w:rPr>
          <w:rFonts w:ascii="Arial" w:eastAsia="Times New Roman" w:hAnsi="Arial" w:cs="Arial"/>
          <w:color w:val="313335"/>
          <w:spacing w:val="2"/>
          <w:sz w:val="21"/>
          <w:szCs w:val="21"/>
        </w:rPr>
        <w:t xml:space="preserve"> </w:t>
      </w:r>
      <w:r w:rsidRPr="000B4F09">
        <w:rPr>
          <w:rFonts w:ascii="Arial" w:eastAsia="Times New Roman" w:hAnsi="Arial" w:cs="Arial"/>
          <w:color w:val="313335"/>
          <w:spacing w:val="2"/>
          <w:sz w:val="21"/>
          <w:szCs w:val="21"/>
        </w:rPr>
        <w:t>The accessory dwelling shall be located only within the rear yard.</w:t>
      </w:r>
    </w:p>
    <w:p w14:paraId="08F34DCD" w14:textId="5CADD945" w:rsidR="000B4F09" w:rsidRPr="000B4F09" w:rsidRDefault="000B4F09" w:rsidP="000B4F09">
      <w:pPr>
        <w:shd w:val="clear" w:color="auto" w:fill="FFFFFF"/>
        <w:spacing w:before="100" w:beforeAutospacing="1" w:after="100" w:afterAutospacing="1"/>
        <w:ind w:left="720"/>
        <w:rPr>
          <w:rFonts w:ascii="Arial" w:eastAsia="Times New Roman" w:hAnsi="Arial" w:cs="Arial"/>
          <w:color w:val="313335"/>
          <w:spacing w:val="2"/>
          <w:sz w:val="21"/>
          <w:szCs w:val="21"/>
        </w:rPr>
      </w:pPr>
      <w:r w:rsidRPr="000B4F09">
        <w:rPr>
          <w:rFonts w:ascii="Arial" w:eastAsia="Times New Roman" w:hAnsi="Arial" w:cs="Arial"/>
          <w:color w:val="313335"/>
          <w:spacing w:val="2"/>
          <w:sz w:val="21"/>
          <w:szCs w:val="21"/>
        </w:rPr>
        <w:t>5)</w:t>
      </w:r>
      <w:r>
        <w:rPr>
          <w:rFonts w:ascii="Arial" w:eastAsia="Times New Roman" w:hAnsi="Arial" w:cs="Arial"/>
          <w:color w:val="313335"/>
          <w:spacing w:val="2"/>
          <w:sz w:val="21"/>
          <w:szCs w:val="21"/>
        </w:rPr>
        <w:t xml:space="preserve"> </w:t>
      </w:r>
      <w:r w:rsidRPr="000B4F09">
        <w:rPr>
          <w:rFonts w:ascii="Arial" w:eastAsia="Times New Roman" w:hAnsi="Arial" w:cs="Arial"/>
          <w:color w:val="313335"/>
          <w:spacing w:val="2"/>
          <w:sz w:val="21"/>
          <w:szCs w:val="21"/>
        </w:rPr>
        <w:t>The lot shall comply with the minimum lot area standards set forth in</w:t>
      </w:r>
      <w:hyperlink r:id="rId8" w:history="1">
        <w:r w:rsidRPr="000B4F09">
          <w:rPr>
            <w:rFonts w:ascii="Arial" w:eastAsia="Times New Roman" w:hAnsi="Arial" w:cs="Arial"/>
            <w:color w:val="096FCC"/>
            <w:spacing w:val="2"/>
            <w:sz w:val="21"/>
            <w:szCs w:val="21"/>
            <w:u w:val="single"/>
          </w:rPr>
          <w:t> chapter 102</w:t>
        </w:r>
      </w:hyperlink>
      <w:r w:rsidRPr="000B4F09">
        <w:rPr>
          <w:rFonts w:ascii="Arial" w:eastAsia="Times New Roman" w:hAnsi="Arial" w:cs="Arial"/>
          <w:color w:val="313335"/>
          <w:spacing w:val="2"/>
          <w:sz w:val="21"/>
          <w:szCs w:val="21"/>
        </w:rPr>
        <w:t> of this UDC</w:t>
      </w:r>
      <w:r>
        <w:rPr>
          <w:rFonts w:ascii="Arial" w:eastAsia="Times New Roman" w:hAnsi="Arial" w:cs="Arial"/>
          <w:color w:val="313335"/>
          <w:spacing w:val="2"/>
          <w:sz w:val="21"/>
          <w:szCs w:val="21"/>
        </w:rPr>
        <w:t>.</w:t>
      </w:r>
    </w:p>
    <w:p w14:paraId="0879D045" w14:textId="5C1634E3" w:rsidR="000B4F09" w:rsidRPr="000B4F09" w:rsidRDefault="000B4F09" w:rsidP="000B4F09">
      <w:pPr>
        <w:shd w:val="clear" w:color="auto" w:fill="FFFFFF"/>
        <w:spacing w:before="100" w:beforeAutospacing="1" w:after="100" w:afterAutospacing="1"/>
        <w:ind w:left="720"/>
        <w:rPr>
          <w:rFonts w:ascii="Arial" w:eastAsia="Times New Roman" w:hAnsi="Arial" w:cs="Arial"/>
          <w:color w:val="313335"/>
          <w:spacing w:val="2"/>
          <w:sz w:val="21"/>
          <w:szCs w:val="21"/>
        </w:rPr>
      </w:pPr>
      <w:r w:rsidRPr="000B4F09">
        <w:rPr>
          <w:rFonts w:ascii="Arial" w:eastAsia="Times New Roman" w:hAnsi="Arial" w:cs="Arial"/>
          <w:color w:val="313335"/>
          <w:spacing w:val="2"/>
          <w:sz w:val="21"/>
          <w:szCs w:val="21"/>
        </w:rPr>
        <w:t>6)</w:t>
      </w:r>
      <w:r>
        <w:rPr>
          <w:rFonts w:ascii="Arial" w:eastAsia="Times New Roman" w:hAnsi="Arial" w:cs="Arial"/>
          <w:color w:val="313335"/>
          <w:spacing w:val="2"/>
          <w:sz w:val="21"/>
          <w:szCs w:val="21"/>
        </w:rPr>
        <w:t xml:space="preserve"> </w:t>
      </w:r>
      <w:r w:rsidRPr="000B4F09">
        <w:rPr>
          <w:rFonts w:ascii="Arial" w:eastAsia="Times New Roman" w:hAnsi="Arial" w:cs="Arial"/>
          <w:color w:val="313335"/>
          <w:spacing w:val="2"/>
          <w:sz w:val="21"/>
          <w:szCs w:val="21"/>
        </w:rPr>
        <w:t>The accessory dwelling shall meet the minimum setback requirement for accessory uses; and</w:t>
      </w:r>
    </w:p>
    <w:p w14:paraId="224DADE6" w14:textId="70E5797A" w:rsidR="000B4F09" w:rsidRPr="000B4F09" w:rsidRDefault="000B4F09" w:rsidP="000B4F09">
      <w:pPr>
        <w:shd w:val="clear" w:color="auto" w:fill="FFFFFF"/>
        <w:spacing w:before="100" w:beforeAutospacing="1" w:after="100" w:afterAutospacing="1"/>
        <w:ind w:left="720"/>
        <w:rPr>
          <w:rFonts w:ascii="Arial" w:eastAsia="Times New Roman" w:hAnsi="Arial" w:cs="Arial"/>
          <w:color w:val="313335"/>
          <w:spacing w:val="2"/>
          <w:sz w:val="21"/>
          <w:szCs w:val="21"/>
        </w:rPr>
      </w:pPr>
      <w:r w:rsidRPr="000B4F09">
        <w:rPr>
          <w:rFonts w:ascii="Arial" w:eastAsia="Times New Roman" w:hAnsi="Arial" w:cs="Arial"/>
          <w:color w:val="313335"/>
          <w:spacing w:val="2"/>
          <w:sz w:val="21"/>
          <w:szCs w:val="21"/>
        </w:rPr>
        <w:t>7)</w:t>
      </w:r>
      <w:r>
        <w:rPr>
          <w:rFonts w:ascii="Arial" w:eastAsia="Times New Roman" w:hAnsi="Arial" w:cs="Arial"/>
          <w:color w:val="313335"/>
          <w:spacing w:val="2"/>
          <w:sz w:val="21"/>
          <w:szCs w:val="21"/>
        </w:rPr>
        <w:t xml:space="preserve"> </w:t>
      </w:r>
      <w:r w:rsidRPr="000B4F09">
        <w:rPr>
          <w:rFonts w:ascii="Arial" w:eastAsia="Times New Roman" w:hAnsi="Arial" w:cs="Arial"/>
          <w:color w:val="313335"/>
          <w:spacing w:val="2"/>
          <w:sz w:val="21"/>
          <w:szCs w:val="21"/>
        </w:rPr>
        <w:t>One additional off-street parking space shall be provided to serve the accessory dwelling unit.</w:t>
      </w:r>
    </w:p>
    <w:p w14:paraId="450D639B" w14:textId="6DA36EB3" w:rsidR="0002584B" w:rsidRPr="0002584B" w:rsidRDefault="0002584B" w:rsidP="0002584B">
      <w:pPr>
        <w:jc w:val="center"/>
        <w:rPr>
          <w:rFonts w:ascii="Verdana" w:hAnsi="Verdana"/>
          <w:b/>
          <w:bCs/>
        </w:rPr>
      </w:pPr>
      <w:r w:rsidRPr="0002584B">
        <w:rPr>
          <w:rFonts w:ascii="Verdana" w:hAnsi="Verdana"/>
          <w:b/>
          <w:bCs/>
        </w:rPr>
        <w:lastRenderedPageBreak/>
        <w:t>ESTIMATE OF FEES</w:t>
      </w:r>
    </w:p>
    <w:p w14:paraId="31DAAFAE" w14:textId="2D927A5B" w:rsidR="0002584B" w:rsidRDefault="0002584B" w:rsidP="00653B56">
      <w:pPr>
        <w:rPr>
          <w:rFonts w:ascii="Verdana" w:hAnsi="Verdana"/>
        </w:rPr>
      </w:pPr>
    </w:p>
    <w:p w14:paraId="676CCE39" w14:textId="1E54A0D2" w:rsidR="0002584B" w:rsidRDefault="0002584B" w:rsidP="00653B56">
      <w:pPr>
        <w:rPr>
          <w:rFonts w:ascii="Verdana" w:hAnsi="Verdana"/>
          <w:b/>
          <w:bCs/>
          <w:u w:val="single"/>
        </w:rPr>
      </w:pPr>
      <w:r w:rsidRPr="0002584B">
        <w:rPr>
          <w:rFonts w:ascii="Verdana" w:hAnsi="Verdana"/>
          <w:b/>
          <w:bCs/>
          <w:u w:val="single"/>
        </w:rPr>
        <w:t>Building Fees</w:t>
      </w:r>
    </w:p>
    <w:p w14:paraId="2FAA5488" w14:textId="3479C0BF" w:rsidR="00F339E1" w:rsidRDefault="00F339E1" w:rsidP="00653B56">
      <w:pPr>
        <w:rPr>
          <w:rFonts w:ascii="Verdana" w:hAnsi="Verdana"/>
          <w:b/>
          <w:bCs/>
          <w:u w:val="single"/>
        </w:rPr>
      </w:pPr>
    </w:p>
    <w:tbl>
      <w:tblPr>
        <w:tblStyle w:val="TableGrid"/>
        <w:tblW w:w="0" w:type="auto"/>
        <w:tblLook w:val="04A0" w:firstRow="1" w:lastRow="0" w:firstColumn="1" w:lastColumn="0" w:noHBand="0" w:noVBand="1"/>
      </w:tblPr>
      <w:tblGrid>
        <w:gridCol w:w="3865"/>
        <w:gridCol w:w="1800"/>
      </w:tblGrid>
      <w:tr w:rsidR="00F339E1" w:rsidRPr="00D12968" w14:paraId="503C1901" w14:textId="77777777" w:rsidTr="00D12968">
        <w:tc>
          <w:tcPr>
            <w:tcW w:w="3865" w:type="dxa"/>
          </w:tcPr>
          <w:p w14:paraId="484C01D6" w14:textId="01C8DC01" w:rsidR="000E7D69" w:rsidRDefault="00F339E1" w:rsidP="00F339E1">
            <w:pPr>
              <w:pStyle w:val="ListParagraph"/>
              <w:numPr>
                <w:ilvl w:val="0"/>
                <w:numId w:val="19"/>
              </w:numPr>
              <w:rPr>
                <w:rFonts w:ascii="Verdana" w:hAnsi="Verdana"/>
              </w:rPr>
            </w:pPr>
            <w:r w:rsidRPr="000E7D69">
              <w:rPr>
                <w:rFonts w:ascii="Verdana" w:hAnsi="Verdana"/>
              </w:rPr>
              <w:t>Building Plan Review</w:t>
            </w:r>
          </w:p>
          <w:p w14:paraId="11ACB62F" w14:textId="08F6F276" w:rsidR="000E7D69" w:rsidRPr="000E7D69" w:rsidRDefault="000E7D69" w:rsidP="000E7D69">
            <w:pPr>
              <w:rPr>
                <w:rFonts w:ascii="Verdana" w:hAnsi="Verdana"/>
              </w:rPr>
            </w:pPr>
            <w:r>
              <w:rPr>
                <w:rFonts w:ascii="Verdana" w:hAnsi="Verdana"/>
              </w:rPr>
              <w:t>If Use Pre-Approved City Plan</w:t>
            </w:r>
          </w:p>
          <w:p w14:paraId="1407DD73" w14:textId="77777777" w:rsidR="00F339E1" w:rsidRPr="00D12968" w:rsidRDefault="00F339E1" w:rsidP="00653B56">
            <w:pPr>
              <w:rPr>
                <w:rFonts w:ascii="Verdana" w:hAnsi="Verdana"/>
                <w:b/>
                <w:bCs/>
                <w:u w:val="single"/>
              </w:rPr>
            </w:pPr>
          </w:p>
        </w:tc>
        <w:tc>
          <w:tcPr>
            <w:tcW w:w="1800" w:type="dxa"/>
          </w:tcPr>
          <w:p w14:paraId="5EB3CF5B" w14:textId="77777777" w:rsidR="00F339E1" w:rsidRDefault="0015685B" w:rsidP="0015685B">
            <w:pPr>
              <w:jc w:val="center"/>
              <w:rPr>
                <w:rFonts w:ascii="Verdana" w:hAnsi="Verdana"/>
              </w:rPr>
            </w:pPr>
            <w:r>
              <w:rPr>
                <w:rFonts w:ascii="Verdana" w:hAnsi="Verdana"/>
              </w:rPr>
              <w:t>$</w:t>
            </w:r>
            <w:r w:rsidR="00BB740B">
              <w:rPr>
                <w:rFonts w:ascii="Verdana" w:hAnsi="Verdana"/>
              </w:rPr>
              <w:t>50.00</w:t>
            </w:r>
          </w:p>
          <w:p w14:paraId="0CC72DFE" w14:textId="2CDC8F8A" w:rsidR="000E7D69" w:rsidRPr="00D12968" w:rsidRDefault="000E7D69" w:rsidP="0015685B">
            <w:pPr>
              <w:jc w:val="center"/>
              <w:rPr>
                <w:rFonts w:ascii="Verdana" w:hAnsi="Verdana"/>
              </w:rPr>
            </w:pPr>
            <w:r>
              <w:rPr>
                <w:rFonts w:ascii="Verdana" w:hAnsi="Verdana"/>
              </w:rPr>
              <w:t>$0.00</w:t>
            </w:r>
          </w:p>
        </w:tc>
      </w:tr>
      <w:tr w:rsidR="00F339E1" w:rsidRPr="00D12968" w14:paraId="6B282136" w14:textId="77777777" w:rsidTr="00D12968">
        <w:tc>
          <w:tcPr>
            <w:tcW w:w="3865" w:type="dxa"/>
          </w:tcPr>
          <w:p w14:paraId="2A266B70" w14:textId="77777777" w:rsidR="00F339E1" w:rsidRPr="00D12968" w:rsidRDefault="00F339E1" w:rsidP="00F339E1">
            <w:pPr>
              <w:pStyle w:val="ListParagraph"/>
              <w:numPr>
                <w:ilvl w:val="0"/>
                <w:numId w:val="19"/>
              </w:numPr>
              <w:rPr>
                <w:rFonts w:ascii="Verdana" w:hAnsi="Verdana"/>
              </w:rPr>
            </w:pPr>
            <w:r w:rsidRPr="00D12968">
              <w:rPr>
                <w:rFonts w:ascii="Verdana" w:hAnsi="Verdana"/>
              </w:rPr>
              <w:t>Building Permit Fee</w:t>
            </w:r>
          </w:p>
          <w:p w14:paraId="2C9809E4" w14:textId="77777777" w:rsidR="00F339E1" w:rsidRPr="00D12968" w:rsidRDefault="00F339E1" w:rsidP="00653B56">
            <w:pPr>
              <w:rPr>
                <w:rFonts w:ascii="Verdana" w:hAnsi="Verdana"/>
                <w:b/>
                <w:bCs/>
                <w:u w:val="single"/>
              </w:rPr>
            </w:pPr>
          </w:p>
        </w:tc>
        <w:tc>
          <w:tcPr>
            <w:tcW w:w="1800" w:type="dxa"/>
          </w:tcPr>
          <w:p w14:paraId="5FC03117" w14:textId="4BF23F65" w:rsidR="00F339E1" w:rsidRPr="00D12968" w:rsidRDefault="00BB740B" w:rsidP="00BB740B">
            <w:pPr>
              <w:jc w:val="center"/>
              <w:rPr>
                <w:rFonts w:ascii="Verdana" w:hAnsi="Verdana"/>
              </w:rPr>
            </w:pPr>
            <w:r>
              <w:rPr>
                <w:rFonts w:ascii="Verdana" w:hAnsi="Verdana"/>
              </w:rPr>
              <w:t>$50.00</w:t>
            </w:r>
          </w:p>
        </w:tc>
      </w:tr>
      <w:tr w:rsidR="00F339E1" w:rsidRPr="00D12968" w14:paraId="3EC32F38" w14:textId="77777777" w:rsidTr="00D12968">
        <w:tc>
          <w:tcPr>
            <w:tcW w:w="3865" w:type="dxa"/>
          </w:tcPr>
          <w:p w14:paraId="256761A9" w14:textId="77777777" w:rsidR="00F339E1" w:rsidRPr="00D12968" w:rsidRDefault="00F339E1" w:rsidP="00F339E1">
            <w:pPr>
              <w:pStyle w:val="ListParagraph"/>
              <w:numPr>
                <w:ilvl w:val="0"/>
                <w:numId w:val="19"/>
              </w:numPr>
              <w:rPr>
                <w:rFonts w:ascii="Verdana" w:hAnsi="Verdana"/>
              </w:rPr>
            </w:pPr>
            <w:r w:rsidRPr="00D12968">
              <w:rPr>
                <w:rFonts w:ascii="Verdana" w:hAnsi="Verdana"/>
              </w:rPr>
              <w:t>Electrical Permit Fee</w:t>
            </w:r>
          </w:p>
          <w:p w14:paraId="7D8EF6FF" w14:textId="77777777" w:rsidR="00F339E1" w:rsidRPr="00D12968" w:rsidRDefault="00F339E1" w:rsidP="00653B56">
            <w:pPr>
              <w:rPr>
                <w:rFonts w:ascii="Verdana" w:hAnsi="Verdana"/>
                <w:b/>
                <w:bCs/>
                <w:u w:val="single"/>
              </w:rPr>
            </w:pPr>
          </w:p>
        </w:tc>
        <w:tc>
          <w:tcPr>
            <w:tcW w:w="1800" w:type="dxa"/>
          </w:tcPr>
          <w:p w14:paraId="70A68181" w14:textId="341D3A83" w:rsidR="00F339E1" w:rsidRPr="00D12968" w:rsidRDefault="00BB740B" w:rsidP="00BB740B">
            <w:pPr>
              <w:jc w:val="center"/>
              <w:rPr>
                <w:rFonts w:ascii="Verdana" w:hAnsi="Verdana"/>
              </w:rPr>
            </w:pPr>
            <w:r>
              <w:rPr>
                <w:rFonts w:ascii="Verdana" w:hAnsi="Verdana"/>
              </w:rPr>
              <w:t>$50.00</w:t>
            </w:r>
          </w:p>
        </w:tc>
      </w:tr>
      <w:tr w:rsidR="00F339E1" w:rsidRPr="00D12968" w14:paraId="1010001F" w14:textId="77777777" w:rsidTr="00D12968">
        <w:tc>
          <w:tcPr>
            <w:tcW w:w="3865" w:type="dxa"/>
          </w:tcPr>
          <w:p w14:paraId="1AC819F6" w14:textId="77777777" w:rsidR="00F339E1" w:rsidRPr="00D12968" w:rsidRDefault="00F339E1" w:rsidP="00F339E1">
            <w:pPr>
              <w:pStyle w:val="ListParagraph"/>
              <w:numPr>
                <w:ilvl w:val="0"/>
                <w:numId w:val="19"/>
              </w:numPr>
              <w:rPr>
                <w:rFonts w:ascii="Verdana" w:hAnsi="Verdana"/>
              </w:rPr>
            </w:pPr>
            <w:r w:rsidRPr="00D12968">
              <w:rPr>
                <w:rFonts w:ascii="Verdana" w:hAnsi="Verdana"/>
              </w:rPr>
              <w:t>Mechanical Permit Fee</w:t>
            </w:r>
          </w:p>
          <w:p w14:paraId="60F74CD6" w14:textId="77777777" w:rsidR="00F339E1" w:rsidRPr="00D12968" w:rsidRDefault="00F339E1" w:rsidP="00653B56">
            <w:pPr>
              <w:rPr>
                <w:rFonts w:ascii="Verdana" w:hAnsi="Verdana"/>
                <w:b/>
                <w:bCs/>
                <w:u w:val="single"/>
              </w:rPr>
            </w:pPr>
          </w:p>
        </w:tc>
        <w:tc>
          <w:tcPr>
            <w:tcW w:w="1800" w:type="dxa"/>
          </w:tcPr>
          <w:p w14:paraId="0A4B9140" w14:textId="17F76EB3" w:rsidR="00F339E1" w:rsidRPr="00D12968" w:rsidRDefault="00BB740B" w:rsidP="00BB740B">
            <w:pPr>
              <w:jc w:val="center"/>
              <w:rPr>
                <w:rFonts w:ascii="Verdana" w:hAnsi="Verdana"/>
              </w:rPr>
            </w:pPr>
            <w:r>
              <w:rPr>
                <w:rFonts w:ascii="Verdana" w:hAnsi="Verdana"/>
              </w:rPr>
              <w:t>$50.00</w:t>
            </w:r>
          </w:p>
        </w:tc>
      </w:tr>
      <w:tr w:rsidR="00F339E1" w:rsidRPr="00D12968" w14:paraId="77B778F1" w14:textId="77777777" w:rsidTr="00D12968">
        <w:tc>
          <w:tcPr>
            <w:tcW w:w="3865" w:type="dxa"/>
          </w:tcPr>
          <w:p w14:paraId="689FA045" w14:textId="77777777" w:rsidR="00F339E1" w:rsidRPr="00D12968" w:rsidRDefault="00F339E1" w:rsidP="00F339E1">
            <w:pPr>
              <w:pStyle w:val="ListParagraph"/>
              <w:numPr>
                <w:ilvl w:val="0"/>
                <w:numId w:val="19"/>
              </w:numPr>
              <w:rPr>
                <w:rFonts w:ascii="Verdana" w:hAnsi="Verdana"/>
              </w:rPr>
            </w:pPr>
            <w:r w:rsidRPr="00D12968">
              <w:rPr>
                <w:rFonts w:ascii="Verdana" w:hAnsi="Verdana"/>
              </w:rPr>
              <w:t>Plumbing Permit Fee</w:t>
            </w:r>
          </w:p>
          <w:p w14:paraId="50E15DC2" w14:textId="77777777" w:rsidR="00F339E1" w:rsidRPr="00D12968" w:rsidRDefault="00F339E1" w:rsidP="00653B56">
            <w:pPr>
              <w:rPr>
                <w:rFonts w:ascii="Verdana" w:hAnsi="Verdana"/>
                <w:b/>
                <w:bCs/>
                <w:u w:val="single"/>
              </w:rPr>
            </w:pPr>
          </w:p>
        </w:tc>
        <w:tc>
          <w:tcPr>
            <w:tcW w:w="1800" w:type="dxa"/>
          </w:tcPr>
          <w:p w14:paraId="70D6B3AA" w14:textId="19B33288" w:rsidR="00F339E1" w:rsidRPr="00D12968" w:rsidRDefault="00BB740B" w:rsidP="00BB740B">
            <w:pPr>
              <w:jc w:val="center"/>
              <w:rPr>
                <w:rFonts w:ascii="Verdana" w:hAnsi="Verdana"/>
              </w:rPr>
            </w:pPr>
            <w:r>
              <w:rPr>
                <w:rFonts w:ascii="Verdana" w:hAnsi="Verdana"/>
              </w:rPr>
              <w:t>$50.00</w:t>
            </w:r>
          </w:p>
        </w:tc>
      </w:tr>
      <w:tr w:rsidR="0015685B" w:rsidRPr="00D12968" w14:paraId="5DF450F5" w14:textId="77777777" w:rsidTr="0015685B">
        <w:trPr>
          <w:trHeight w:val="530"/>
        </w:trPr>
        <w:tc>
          <w:tcPr>
            <w:tcW w:w="3865" w:type="dxa"/>
          </w:tcPr>
          <w:p w14:paraId="283D8D66" w14:textId="48FC4CBB" w:rsidR="0015685B" w:rsidRPr="00D12968" w:rsidRDefault="0015685B" w:rsidP="00F339E1">
            <w:pPr>
              <w:pStyle w:val="ListParagraph"/>
              <w:numPr>
                <w:ilvl w:val="0"/>
                <w:numId w:val="19"/>
              </w:numPr>
              <w:rPr>
                <w:rFonts w:ascii="Verdana" w:hAnsi="Verdana"/>
              </w:rPr>
            </w:pPr>
            <w:r>
              <w:rPr>
                <w:rFonts w:ascii="Verdana" w:hAnsi="Verdana"/>
              </w:rPr>
              <w:t>C.O. Fee</w:t>
            </w:r>
          </w:p>
        </w:tc>
        <w:tc>
          <w:tcPr>
            <w:tcW w:w="1800" w:type="dxa"/>
          </w:tcPr>
          <w:p w14:paraId="5C665C6B" w14:textId="34705D4E" w:rsidR="0015685B" w:rsidRPr="00D12968" w:rsidRDefault="00BB740B" w:rsidP="0015685B">
            <w:pPr>
              <w:jc w:val="center"/>
              <w:rPr>
                <w:rFonts w:ascii="Verdana" w:hAnsi="Verdana"/>
              </w:rPr>
            </w:pPr>
            <w:r>
              <w:rPr>
                <w:rFonts w:ascii="Verdana" w:hAnsi="Verdana"/>
              </w:rPr>
              <w:t>$50.00</w:t>
            </w:r>
          </w:p>
        </w:tc>
      </w:tr>
    </w:tbl>
    <w:p w14:paraId="3DE422F9" w14:textId="77777777" w:rsidR="00F339E1" w:rsidRPr="00D12968" w:rsidRDefault="00F339E1" w:rsidP="00653B56">
      <w:pPr>
        <w:rPr>
          <w:rFonts w:ascii="Verdana" w:hAnsi="Verdana"/>
          <w:b/>
          <w:bCs/>
          <w:u w:val="single"/>
        </w:rPr>
      </w:pPr>
    </w:p>
    <w:p w14:paraId="1F2D67C0" w14:textId="2BF1FDED" w:rsidR="0002584B" w:rsidRPr="00D12968" w:rsidRDefault="0002584B" w:rsidP="00653B56">
      <w:pPr>
        <w:rPr>
          <w:rFonts w:ascii="Verdana" w:hAnsi="Verdana"/>
        </w:rPr>
      </w:pPr>
    </w:p>
    <w:p w14:paraId="0A335857" w14:textId="46DD4817" w:rsidR="0002584B" w:rsidRPr="00D12968" w:rsidRDefault="0002584B" w:rsidP="00653B56">
      <w:pPr>
        <w:rPr>
          <w:rFonts w:ascii="Verdana" w:hAnsi="Verdana"/>
          <w:b/>
          <w:bCs/>
          <w:u w:val="single"/>
        </w:rPr>
      </w:pPr>
      <w:r w:rsidRPr="00D12968">
        <w:rPr>
          <w:rFonts w:ascii="Verdana" w:hAnsi="Verdana"/>
          <w:b/>
          <w:bCs/>
          <w:u w:val="single"/>
        </w:rPr>
        <w:t>Development Fees</w:t>
      </w:r>
    </w:p>
    <w:p w14:paraId="32237DC9" w14:textId="169D6349" w:rsidR="00F339E1" w:rsidRPr="00D12968" w:rsidRDefault="00F339E1" w:rsidP="00653B56">
      <w:pPr>
        <w:rPr>
          <w:rFonts w:ascii="Verdana" w:hAnsi="Verdana"/>
          <w:b/>
          <w:bCs/>
          <w:u w:val="single"/>
        </w:rPr>
      </w:pPr>
    </w:p>
    <w:tbl>
      <w:tblPr>
        <w:tblStyle w:val="TableGrid"/>
        <w:tblW w:w="0" w:type="auto"/>
        <w:tblLook w:val="04A0" w:firstRow="1" w:lastRow="0" w:firstColumn="1" w:lastColumn="0" w:noHBand="0" w:noVBand="1"/>
      </w:tblPr>
      <w:tblGrid>
        <w:gridCol w:w="4315"/>
        <w:gridCol w:w="1459"/>
      </w:tblGrid>
      <w:tr w:rsidR="00F339E1" w:rsidRPr="00D12968" w14:paraId="3C6C1D0D" w14:textId="77777777" w:rsidTr="0041109D">
        <w:tc>
          <w:tcPr>
            <w:tcW w:w="4315" w:type="dxa"/>
          </w:tcPr>
          <w:p w14:paraId="3C2EAA80" w14:textId="77777777" w:rsidR="00F339E1" w:rsidRPr="00D12968" w:rsidRDefault="00F339E1" w:rsidP="00F339E1">
            <w:pPr>
              <w:pStyle w:val="ListParagraph"/>
              <w:numPr>
                <w:ilvl w:val="0"/>
                <w:numId w:val="20"/>
              </w:numPr>
              <w:rPr>
                <w:rFonts w:ascii="Verdana" w:hAnsi="Verdana"/>
              </w:rPr>
            </w:pPr>
            <w:r w:rsidRPr="00D12968">
              <w:rPr>
                <w:rFonts w:ascii="Verdana" w:hAnsi="Verdana"/>
              </w:rPr>
              <w:t>Site Plan Review</w:t>
            </w:r>
          </w:p>
          <w:p w14:paraId="6110DFC1" w14:textId="5B8B5284" w:rsidR="00F339E1" w:rsidRPr="00D12968" w:rsidRDefault="00F339E1" w:rsidP="00653B56">
            <w:pPr>
              <w:rPr>
                <w:rFonts w:ascii="Verdana" w:hAnsi="Verdana"/>
                <w:b/>
                <w:bCs/>
                <w:u w:val="single"/>
              </w:rPr>
            </w:pPr>
          </w:p>
        </w:tc>
        <w:tc>
          <w:tcPr>
            <w:tcW w:w="1369" w:type="dxa"/>
          </w:tcPr>
          <w:p w14:paraId="5F64E32D" w14:textId="4610F0F6" w:rsidR="00F339E1" w:rsidRPr="0086534A" w:rsidRDefault="00777FA5" w:rsidP="0086534A">
            <w:pPr>
              <w:jc w:val="center"/>
              <w:rPr>
                <w:rFonts w:ascii="Verdana" w:hAnsi="Verdana"/>
              </w:rPr>
            </w:pPr>
            <w:r>
              <w:rPr>
                <w:rFonts w:ascii="Verdana" w:hAnsi="Verdana"/>
              </w:rPr>
              <w:t>$50.00</w:t>
            </w:r>
          </w:p>
        </w:tc>
      </w:tr>
      <w:tr w:rsidR="00F339E1" w:rsidRPr="00D12968" w14:paraId="16DCFD0D" w14:textId="77777777" w:rsidTr="0041109D">
        <w:tc>
          <w:tcPr>
            <w:tcW w:w="4315" w:type="dxa"/>
          </w:tcPr>
          <w:p w14:paraId="3E54DCD5" w14:textId="02C778B0" w:rsidR="00F339E1" w:rsidRDefault="00F339E1" w:rsidP="00F339E1">
            <w:pPr>
              <w:pStyle w:val="ListParagraph"/>
              <w:numPr>
                <w:ilvl w:val="0"/>
                <w:numId w:val="20"/>
              </w:numPr>
              <w:rPr>
                <w:rFonts w:ascii="Verdana" w:hAnsi="Verdana"/>
              </w:rPr>
            </w:pPr>
            <w:r w:rsidRPr="00D12968">
              <w:rPr>
                <w:rFonts w:ascii="Verdana" w:hAnsi="Verdana"/>
              </w:rPr>
              <w:t xml:space="preserve">Water </w:t>
            </w:r>
            <w:r w:rsidR="005D62FA">
              <w:rPr>
                <w:rFonts w:ascii="Verdana" w:hAnsi="Verdana"/>
              </w:rPr>
              <w:t>T</w:t>
            </w:r>
            <w:r w:rsidRPr="00D12968">
              <w:rPr>
                <w:rFonts w:ascii="Verdana" w:hAnsi="Verdana"/>
              </w:rPr>
              <w:t xml:space="preserve">ap Fee </w:t>
            </w:r>
          </w:p>
          <w:p w14:paraId="11D31F6E" w14:textId="60FD9030" w:rsidR="0041109D" w:rsidRDefault="0041109D" w:rsidP="0041109D">
            <w:pPr>
              <w:rPr>
                <w:rFonts w:ascii="Verdana" w:hAnsi="Verdana"/>
              </w:rPr>
            </w:pPr>
            <w:r>
              <w:rPr>
                <w:rFonts w:ascii="Verdana" w:hAnsi="Verdana"/>
              </w:rPr>
              <w:t>If new construction detached unit</w:t>
            </w:r>
          </w:p>
          <w:p w14:paraId="7A9162EA" w14:textId="01CE05DF" w:rsidR="00D6095C" w:rsidRPr="0041109D" w:rsidRDefault="00D6095C" w:rsidP="0041109D">
            <w:pPr>
              <w:rPr>
                <w:rFonts w:ascii="Verdana" w:hAnsi="Verdana"/>
              </w:rPr>
            </w:pPr>
            <w:r>
              <w:rPr>
                <w:rFonts w:ascii="Verdana" w:hAnsi="Verdana"/>
              </w:rPr>
              <w:t>And install separate meter</w:t>
            </w:r>
          </w:p>
          <w:p w14:paraId="1AA33E30" w14:textId="77777777" w:rsidR="00F339E1" w:rsidRPr="00D12968" w:rsidRDefault="00F339E1" w:rsidP="00653B56">
            <w:pPr>
              <w:rPr>
                <w:rFonts w:ascii="Verdana" w:hAnsi="Verdana"/>
                <w:b/>
                <w:bCs/>
                <w:u w:val="single"/>
              </w:rPr>
            </w:pPr>
          </w:p>
        </w:tc>
        <w:tc>
          <w:tcPr>
            <w:tcW w:w="1369" w:type="dxa"/>
          </w:tcPr>
          <w:p w14:paraId="03956F57" w14:textId="02F6EEE8" w:rsidR="00F339E1" w:rsidRPr="00D12968" w:rsidRDefault="00D12968" w:rsidP="00D12968">
            <w:pPr>
              <w:jc w:val="center"/>
              <w:rPr>
                <w:rFonts w:ascii="Verdana" w:hAnsi="Verdana"/>
              </w:rPr>
            </w:pPr>
            <w:r w:rsidRPr="000B6D9C">
              <w:rPr>
                <w:rFonts w:ascii="Verdana" w:hAnsi="Verdana"/>
              </w:rPr>
              <w:t>$</w:t>
            </w:r>
            <w:r w:rsidR="0041109D" w:rsidRPr="000B6D9C">
              <w:rPr>
                <w:rFonts w:ascii="Verdana" w:hAnsi="Verdana"/>
              </w:rPr>
              <w:t>1,625.00</w:t>
            </w:r>
          </w:p>
        </w:tc>
      </w:tr>
      <w:tr w:rsidR="00F339E1" w:rsidRPr="00D12968" w14:paraId="74A66081" w14:textId="77777777" w:rsidTr="0041109D">
        <w:tc>
          <w:tcPr>
            <w:tcW w:w="4315" w:type="dxa"/>
          </w:tcPr>
          <w:p w14:paraId="2A07C58C" w14:textId="4B7658AB" w:rsidR="00F339E1" w:rsidRDefault="00F339E1" w:rsidP="00F339E1">
            <w:pPr>
              <w:pStyle w:val="ListParagraph"/>
              <w:numPr>
                <w:ilvl w:val="0"/>
                <w:numId w:val="20"/>
              </w:numPr>
              <w:rPr>
                <w:rFonts w:ascii="Verdana" w:hAnsi="Verdana"/>
              </w:rPr>
            </w:pPr>
            <w:r w:rsidRPr="00D12968">
              <w:rPr>
                <w:rFonts w:ascii="Verdana" w:hAnsi="Verdana"/>
              </w:rPr>
              <w:t>Sewer Tap Fee</w:t>
            </w:r>
          </w:p>
          <w:p w14:paraId="16347064" w14:textId="345C9774" w:rsidR="0041109D" w:rsidRPr="0041109D" w:rsidRDefault="0041109D" w:rsidP="0041109D">
            <w:pPr>
              <w:rPr>
                <w:rFonts w:ascii="Verdana" w:hAnsi="Verdana"/>
              </w:rPr>
            </w:pPr>
            <w:r>
              <w:rPr>
                <w:rFonts w:ascii="Verdana" w:hAnsi="Verdana"/>
              </w:rPr>
              <w:t>If new construction detached unit</w:t>
            </w:r>
            <w:r w:rsidR="00D6095C">
              <w:rPr>
                <w:rFonts w:ascii="Verdana" w:hAnsi="Verdana"/>
              </w:rPr>
              <w:t xml:space="preserve"> and install separate tap</w:t>
            </w:r>
          </w:p>
          <w:p w14:paraId="36E4A827" w14:textId="77777777" w:rsidR="00F339E1" w:rsidRPr="00D12968" w:rsidRDefault="00F339E1" w:rsidP="00653B56">
            <w:pPr>
              <w:rPr>
                <w:rFonts w:ascii="Verdana" w:hAnsi="Verdana"/>
                <w:b/>
                <w:bCs/>
                <w:u w:val="single"/>
              </w:rPr>
            </w:pPr>
          </w:p>
        </w:tc>
        <w:tc>
          <w:tcPr>
            <w:tcW w:w="1369" w:type="dxa"/>
          </w:tcPr>
          <w:p w14:paraId="7D139E21" w14:textId="4B8D198A" w:rsidR="00F339E1" w:rsidRPr="00D12968" w:rsidRDefault="00D12968" w:rsidP="00D12968">
            <w:pPr>
              <w:jc w:val="center"/>
              <w:rPr>
                <w:rFonts w:ascii="Verdana" w:hAnsi="Verdana"/>
              </w:rPr>
            </w:pPr>
            <w:r w:rsidRPr="000B6D9C">
              <w:rPr>
                <w:rFonts w:ascii="Verdana" w:hAnsi="Verdana"/>
              </w:rPr>
              <w:t>$</w:t>
            </w:r>
            <w:r w:rsidR="0041109D" w:rsidRPr="000B6D9C">
              <w:rPr>
                <w:rFonts w:ascii="Verdana" w:hAnsi="Verdana"/>
              </w:rPr>
              <w:t>3,350.00</w:t>
            </w:r>
          </w:p>
        </w:tc>
      </w:tr>
    </w:tbl>
    <w:p w14:paraId="2EF6A423" w14:textId="77777777" w:rsidR="00F339E1" w:rsidRPr="00D12968" w:rsidRDefault="00F339E1" w:rsidP="00653B56">
      <w:pPr>
        <w:rPr>
          <w:rFonts w:ascii="Verdana" w:hAnsi="Verdana"/>
          <w:b/>
          <w:bCs/>
          <w:u w:val="single"/>
        </w:rPr>
      </w:pPr>
    </w:p>
    <w:p w14:paraId="39CE1460" w14:textId="31F07088" w:rsidR="0002584B" w:rsidRPr="00D12968" w:rsidRDefault="0002584B" w:rsidP="00653B56">
      <w:pPr>
        <w:rPr>
          <w:rFonts w:ascii="Verdana" w:hAnsi="Verdana"/>
        </w:rPr>
      </w:pPr>
    </w:p>
    <w:p w14:paraId="020A4D77" w14:textId="77777777" w:rsidR="00653B56" w:rsidRPr="00653B56" w:rsidRDefault="00653B56" w:rsidP="00653B56">
      <w:pPr>
        <w:rPr>
          <w:rFonts w:ascii="Verdana" w:hAnsi="Verdana"/>
          <w:sz w:val="18"/>
          <w:szCs w:val="18"/>
        </w:rPr>
      </w:pPr>
    </w:p>
    <w:p w14:paraId="23C6AC4B" w14:textId="77777777" w:rsidR="00653B56" w:rsidRPr="00653B56" w:rsidRDefault="00653B56" w:rsidP="00653B56">
      <w:pPr>
        <w:rPr>
          <w:rFonts w:ascii="Verdana" w:hAnsi="Verdana"/>
          <w:sz w:val="18"/>
          <w:szCs w:val="18"/>
        </w:rPr>
      </w:pPr>
    </w:p>
    <w:p w14:paraId="1304968C" w14:textId="453B9D14" w:rsidR="008214C8" w:rsidRPr="00653B56" w:rsidRDefault="00653B56" w:rsidP="00B01CEA">
      <w:pPr>
        <w:tabs>
          <w:tab w:val="left" w:pos="3233"/>
          <w:tab w:val="left" w:pos="3990"/>
          <w:tab w:val="left" w:pos="4598"/>
        </w:tabs>
        <w:rPr>
          <w:rFonts w:ascii="Verdana" w:hAnsi="Verdana"/>
          <w:sz w:val="18"/>
          <w:szCs w:val="18"/>
        </w:rPr>
      </w:pPr>
      <w:r>
        <w:rPr>
          <w:rFonts w:ascii="Verdana" w:hAnsi="Verdana"/>
          <w:sz w:val="18"/>
          <w:szCs w:val="18"/>
        </w:rPr>
        <w:tab/>
      </w:r>
      <w:r w:rsidR="00B01CEA">
        <w:rPr>
          <w:rFonts w:ascii="Verdana" w:hAnsi="Verdana"/>
          <w:sz w:val="18"/>
          <w:szCs w:val="18"/>
        </w:rPr>
        <w:tab/>
      </w:r>
      <w:r w:rsidR="00B01CEA">
        <w:rPr>
          <w:rFonts w:ascii="Verdana" w:hAnsi="Verdana"/>
          <w:sz w:val="18"/>
          <w:szCs w:val="18"/>
        </w:rPr>
        <w:tab/>
      </w:r>
    </w:p>
    <w:sectPr w:rsidR="008214C8" w:rsidRPr="00653B56" w:rsidSect="00D304CC">
      <w:headerReference w:type="even" r:id="rId9"/>
      <w:headerReference w:type="default" r:id="rId10"/>
      <w:footerReference w:type="even" r:id="rId11"/>
      <w:footerReference w:type="default" r:id="rId12"/>
      <w:headerReference w:type="first" r:id="rId13"/>
      <w:footerReference w:type="first" r:id="rId14"/>
      <w:pgSz w:w="12240" w:h="15840"/>
      <w:pgMar w:top="2160" w:right="720" w:bottom="1440" w:left="720" w:header="274" w:footer="8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EEC01" w14:textId="77777777" w:rsidR="00D05D6A" w:rsidRDefault="00D05D6A" w:rsidP="008214C8">
      <w:r>
        <w:separator/>
      </w:r>
    </w:p>
  </w:endnote>
  <w:endnote w:type="continuationSeparator" w:id="0">
    <w:p w14:paraId="39B3F845" w14:textId="77777777" w:rsidR="00D05D6A" w:rsidRDefault="00D05D6A" w:rsidP="00821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76AD7" w14:textId="77777777" w:rsidR="000F325C" w:rsidRDefault="000F3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90F88" w14:textId="2599B8C4" w:rsidR="00653B56" w:rsidRPr="00B01CEA" w:rsidRDefault="00653B56" w:rsidP="00653B56">
    <w:pPr>
      <w:pStyle w:val="Footer"/>
      <w:tabs>
        <w:tab w:val="clear" w:pos="4320"/>
        <w:tab w:val="clear" w:pos="8640"/>
        <w:tab w:val="center" w:pos="5400"/>
      </w:tabs>
      <w:jc w:val="center"/>
      <w:rPr>
        <w:rFonts w:ascii="Century Gothic" w:hAnsi="Century Gothic"/>
        <w:noProof/>
        <w:sz w:val="18"/>
      </w:rPr>
    </w:pPr>
    <w:r w:rsidRPr="00B01CEA">
      <w:rPr>
        <w:rFonts w:ascii="Century Gothic" w:hAnsi="Century Gothic"/>
        <w:noProof/>
        <w:color w:val="33CC33"/>
        <w:sz w:val="18"/>
      </w:rPr>
      <w:t>Phone: 770.704.1500</w:t>
    </w:r>
    <w:r w:rsidRPr="00B01CEA">
      <w:rPr>
        <w:rFonts w:ascii="Century Gothic" w:hAnsi="Century Gothic"/>
        <w:noProof/>
        <w:color w:val="BFBFBF" w:themeColor="background1" w:themeShade="BF"/>
        <w:sz w:val="18"/>
      </w:rPr>
      <w:t xml:space="preserve">    |  </w:t>
    </w:r>
    <w:r w:rsidRPr="00B01CEA">
      <w:rPr>
        <w:rFonts w:ascii="Century Gothic" w:hAnsi="Century Gothic"/>
        <w:noProof/>
        <w:sz w:val="18"/>
      </w:rPr>
      <w:t xml:space="preserve">  </w:t>
    </w:r>
    <w:r w:rsidRPr="00B01CEA">
      <w:rPr>
        <w:rFonts w:ascii="Century Gothic" w:hAnsi="Century Gothic"/>
        <w:noProof/>
        <w:color w:val="0070C0"/>
        <w:sz w:val="18"/>
      </w:rPr>
      <w:t xml:space="preserve">110 Academy Street   </w:t>
    </w:r>
    <w:r w:rsidRPr="00B01CEA">
      <w:rPr>
        <w:rFonts w:ascii="Century Gothic" w:hAnsi="Century Gothic"/>
        <w:noProof/>
        <w:color w:val="BFBFBF" w:themeColor="background1" w:themeShade="BF"/>
        <w:sz w:val="18"/>
      </w:rPr>
      <w:t xml:space="preserve"> |    </w:t>
    </w:r>
    <w:r w:rsidRPr="00B01CEA">
      <w:rPr>
        <w:rFonts w:ascii="Century Gothic" w:hAnsi="Century Gothic"/>
        <w:noProof/>
        <w:color w:val="0070C0"/>
        <w:sz w:val="18"/>
      </w:rPr>
      <w:t>Canton, Georgia  30114</w:t>
    </w:r>
  </w:p>
  <w:p w14:paraId="5F6A5464" w14:textId="77777777" w:rsidR="00653B56" w:rsidRPr="00653B56" w:rsidRDefault="00653B56" w:rsidP="00653B56">
    <w:pPr>
      <w:pStyle w:val="Footer"/>
      <w:tabs>
        <w:tab w:val="clear" w:pos="4320"/>
        <w:tab w:val="clear" w:pos="8640"/>
        <w:tab w:val="center" w:pos="5400"/>
      </w:tabs>
      <w:jc w:val="center"/>
      <w:rPr>
        <w:rFonts w:ascii="Century Gothic" w:hAnsi="Century Gothic"/>
        <w:sz w:val="16"/>
      </w:rPr>
    </w:pPr>
  </w:p>
  <w:p w14:paraId="4F25DB8C" w14:textId="0D34736C" w:rsidR="008214C8" w:rsidRPr="00653B56" w:rsidRDefault="00653B56" w:rsidP="00653B56">
    <w:pPr>
      <w:pStyle w:val="Footer"/>
      <w:tabs>
        <w:tab w:val="clear" w:pos="4320"/>
        <w:tab w:val="clear" w:pos="8640"/>
        <w:tab w:val="center" w:pos="5400"/>
      </w:tabs>
      <w:jc w:val="center"/>
      <w:rPr>
        <w:rFonts w:ascii="Century Gothic" w:hAnsi="Century Gothic"/>
        <w:b/>
        <w:noProof/>
        <w:color w:val="BFBFBF" w:themeColor="background1" w:themeShade="BF"/>
        <w:sz w:val="32"/>
      </w:rPr>
    </w:pPr>
    <w:r w:rsidRPr="00653B56">
      <w:rPr>
        <w:rFonts w:ascii="Century Gothic" w:hAnsi="Century Gothic"/>
        <w:b/>
        <w:color w:val="BFBFBF" w:themeColor="background1" w:themeShade="BF"/>
        <w:sz w:val="20"/>
      </w:rPr>
      <w:t>cantonga.gov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C4BCA" w14:textId="77777777" w:rsidR="000F325C" w:rsidRDefault="000F3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26769" w14:textId="77777777" w:rsidR="00D05D6A" w:rsidRDefault="00D05D6A" w:rsidP="008214C8">
      <w:r>
        <w:separator/>
      </w:r>
    </w:p>
  </w:footnote>
  <w:footnote w:type="continuationSeparator" w:id="0">
    <w:p w14:paraId="3BB72676" w14:textId="77777777" w:rsidR="00D05D6A" w:rsidRDefault="00D05D6A" w:rsidP="00821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1718B" w14:textId="77777777" w:rsidR="000F325C" w:rsidRDefault="000F3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3164" w14:textId="77777777" w:rsidR="008214C8" w:rsidRDefault="008214C8">
    <w:pPr>
      <w:pStyle w:val="Header"/>
    </w:pPr>
    <w:r>
      <w:rPr>
        <w:rFonts w:hint="eastAsia"/>
        <w:noProof/>
      </w:rPr>
      <w:drawing>
        <wp:anchor distT="0" distB="0" distL="114300" distR="114300" simplePos="0" relativeHeight="251658240" behindDoc="1" locked="0" layoutInCell="1" allowOverlap="1" wp14:anchorId="195A2C52" wp14:editId="33630E3F">
          <wp:simplePos x="0" y="0"/>
          <wp:positionH relativeFrom="column">
            <wp:align>center</wp:align>
          </wp:positionH>
          <wp:positionV relativeFrom="paragraph">
            <wp:posOffset>5715</wp:posOffset>
          </wp:positionV>
          <wp:extent cx="2468880" cy="1028700"/>
          <wp:effectExtent l="0" t="0" r="0" b="1270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OfCanton_Logo-EstGA_RGB.jpg"/>
                  <pic:cNvPicPr/>
                </pic:nvPicPr>
                <pic:blipFill>
                  <a:blip r:embed="rId1">
                    <a:extLst>
                      <a:ext uri="{28A0092B-C50C-407E-A947-70E740481C1C}">
                        <a14:useLocalDpi xmlns:a14="http://schemas.microsoft.com/office/drawing/2010/main" val="0"/>
                      </a:ext>
                    </a:extLst>
                  </a:blip>
                  <a:stretch>
                    <a:fillRect/>
                  </a:stretch>
                </pic:blipFill>
                <pic:spPr>
                  <a:xfrm>
                    <a:off x="0" y="0"/>
                    <a:ext cx="2468880" cy="10287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D5A3" w14:textId="77777777" w:rsidR="000F325C" w:rsidRDefault="000F3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20186"/>
    <w:multiLevelType w:val="hybridMultilevel"/>
    <w:tmpl w:val="D722C1D6"/>
    <w:lvl w:ilvl="0" w:tplc="1E7AB82A">
      <w:start w:val="2019"/>
      <w:numFmt w:val="decimal"/>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96FB0"/>
    <w:multiLevelType w:val="hybridMultilevel"/>
    <w:tmpl w:val="F4D05554"/>
    <w:lvl w:ilvl="0" w:tplc="8062AF26">
      <w:start w:val="2019"/>
      <w:numFmt w:val="decimal"/>
      <w:lvlText w:val="%1"/>
      <w:lvlJc w:val="left"/>
      <w:pPr>
        <w:ind w:left="1133" w:hanging="690"/>
      </w:pPr>
      <w:rPr>
        <w:rFonts w:hint="default"/>
      </w:rPr>
    </w:lvl>
    <w:lvl w:ilvl="1" w:tplc="04090019" w:tentative="1">
      <w:start w:val="1"/>
      <w:numFmt w:val="lowerLetter"/>
      <w:lvlText w:val="%2."/>
      <w:lvlJc w:val="left"/>
      <w:pPr>
        <w:ind w:left="1523" w:hanging="360"/>
      </w:pPr>
    </w:lvl>
    <w:lvl w:ilvl="2" w:tplc="0409001B" w:tentative="1">
      <w:start w:val="1"/>
      <w:numFmt w:val="lowerRoman"/>
      <w:lvlText w:val="%3."/>
      <w:lvlJc w:val="right"/>
      <w:pPr>
        <w:ind w:left="2243" w:hanging="180"/>
      </w:pPr>
    </w:lvl>
    <w:lvl w:ilvl="3" w:tplc="0409000F" w:tentative="1">
      <w:start w:val="1"/>
      <w:numFmt w:val="decimal"/>
      <w:lvlText w:val="%4."/>
      <w:lvlJc w:val="left"/>
      <w:pPr>
        <w:ind w:left="2963" w:hanging="360"/>
      </w:pPr>
    </w:lvl>
    <w:lvl w:ilvl="4" w:tplc="04090019" w:tentative="1">
      <w:start w:val="1"/>
      <w:numFmt w:val="lowerLetter"/>
      <w:lvlText w:val="%5."/>
      <w:lvlJc w:val="left"/>
      <w:pPr>
        <w:ind w:left="3683" w:hanging="360"/>
      </w:pPr>
    </w:lvl>
    <w:lvl w:ilvl="5" w:tplc="0409001B" w:tentative="1">
      <w:start w:val="1"/>
      <w:numFmt w:val="lowerRoman"/>
      <w:lvlText w:val="%6."/>
      <w:lvlJc w:val="right"/>
      <w:pPr>
        <w:ind w:left="4403" w:hanging="180"/>
      </w:pPr>
    </w:lvl>
    <w:lvl w:ilvl="6" w:tplc="0409000F" w:tentative="1">
      <w:start w:val="1"/>
      <w:numFmt w:val="decimal"/>
      <w:lvlText w:val="%7."/>
      <w:lvlJc w:val="left"/>
      <w:pPr>
        <w:ind w:left="5123" w:hanging="360"/>
      </w:pPr>
    </w:lvl>
    <w:lvl w:ilvl="7" w:tplc="04090019" w:tentative="1">
      <w:start w:val="1"/>
      <w:numFmt w:val="lowerLetter"/>
      <w:lvlText w:val="%8."/>
      <w:lvlJc w:val="left"/>
      <w:pPr>
        <w:ind w:left="5843" w:hanging="360"/>
      </w:pPr>
    </w:lvl>
    <w:lvl w:ilvl="8" w:tplc="0409001B" w:tentative="1">
      <w:start w:val="1"/>
      <w:numFmt w:val="lowerRoman"/>
      <w:lvlText w:val="%9."/>
      <w:lvlJc w:val="right"/>
      <w:pPr>
        <w:ind w:left="6563" w:hanging="180"/>
      </w:pPr>
    </w:lvl>
  </w:abstractNum>
  <w:abstractNum w:abstractNumId="2" w15:restartNumberingAfterBreak="0">
    <w:nsid w:val="1839795E"/>
    <w:multiLevelType w:val="hybridMultilevel"/>
    <w:tmpl w:val="D1089C86"/>
    <w:lvl w:ilvl="0" w:tplc="F2B840D6">
      <w:start w:val="1"/>
      <w:numFmt w:val="bullet"/>
      <w:lvlText w:val=""/>
      <w:lvlJc w:val="left"/>
      <w:pPr>
        <w:ind w:left="720" w:hanging="360"/>
      </w:pPr>
      <w:rPr>
        <w:rFonts w:ascii="Symbol" w:hAnsi="Symbol" w:hint="default"/>
        <w:b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76DB0"/>
    <w:multiLevelType w:val="hybridMultilevel"/>
    <w:tmpl w:val="8A66FC82"/>
    <w:lvl w:ilvl="0" w:tplc="F2B840D6">
      <w:start w:val="1"/>
      <w:numFmt w:val="bullet"/>
      <w:lvlText w:val=""/>
      <w:lvlJc w:val="left"/>
      <w:pPr>
        <w:ind w:left="720" w:hanging="360"/>
      </w:pPr>
      <w:rPr>
        <w:rFonts w:ascii="Symbol" w:hAnsi="Symbol" w:hint="default"/>
        <w:b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01859"/>
    <w:multiLevelType w:val="hybridMultilevel"/>
    <w:tmpl w:val="551A2D92"/>
    <w:lvl w:ilvl="0" w:tplc="AE3A5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51F84"/>
    <w:multiLevelType w:val="hybridMultilevel"/>
    <w:tmpl w:val="4F8E8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5F56C1"/>
    <w:multiLevelType w:val="hybridMultilevel"/>
    <w:tmpl w:val="E2568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A6CDE"/>
    <w:multiLevelType w:val="hybridMultilevel"/>
    <w:tmpl w:val="8CEE1D8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30B541C4"/>
    <w:multiLevelType w:val="hybridMultilevel"/>
    <w:tmpl w:val="10F62E28"/>
    <w:lvl w:ilvl="0" w:tplc="AE3A5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1B4CB1"/>
    <w:multiLevelType w:val="hybridMultilevel"/>
    <w:tmpl w:val="50847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AD494A"/>
    <w:multiLevelType w:val="hybridMultilevel"/>
    <w:tmpl w:val="E61C6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7B0C69"/>
    <w:multiLevelType w:val="hybridMultilevel"/>
    <w:tmpl w:val="B344C44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43BD6195"/>
    <w:multiLevelType w:val="hybridMultilevel"/>
    <w:tmpl w:val="C5E21FBE"/>
    <w:lvl w:ilvl="0" w:tplc="F2B840D6">
      <w:start w:val="1"/>
      <w:numFmt w:val="bullet"/>
      <w:lvlText w:val=""/>
      <w:lvlJc w:val="left"/>
      <w:pPr>
        <w:ind w:left="720" w:hanging="360"/>
      </w:pPr>
      <w:rPr>
        <w:rFonts w:ascii="Symbol" w:hAnsi="Symbol" w:hint="default"/>
        <w:b w:val="0"/>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7B5DC6"/>
    <w:multiLevelType w:val="multilevel"/>
    <w:tmpl w:val="9E96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2B103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CE46BA3"/>
    <w:multiLevelType w:val="hybridMultilevel"/>
    <w:tmpl w:val="81867E48"/>
    <w:lvl w:ilvl="0" w:tplc="AE3A5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FB443C"/>
    <w:multiLevelType w:val="hybridMultilevel"/>
    <w:tmpl w:val="10062110"/>
    <w:lvl w:ilvl="0" w:tplc="5E928800">
      <w:numFmt w:val="bullet"/>
      <w:lvlText w:val="•"/>
      <w:lvlJc w:val="left"/>
      <w:pPr>
        <w:ind w:left="788" w:hanging="608"/>
      </w:pPr>
      <w:rPr>
        <w:rFonts w:ascii="Verdana" w:eastAsiaTheme="minorEastAsia" w:hAnsi="Verdana"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63D001C3"/>
    <w:multiLevelType w:val="hybridMultilevel"/>
    <w:tmpl w:val="099A974C"/>
    <w:lvl w:ilvl="0" w:tplc="C3701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0E5AEB"/>
    <w:multiLevelType w:val="hybridMultilevel"/>
    <w:tmpl w:val="6E9E0FB0"/>
    <w:lvl w:ilvl="0" w:tplc="603C77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557FC5"/>
    <w:multiLevelType w:val="hybridMultilevel"/>
    <w:tmpl w:val="F714643E"/>
    <w:lvl w:ilvl="0" w:tplc="F2B840D6">
      <w:start w:val="1"/>
      <w:numFmt w:val="bullet"/>
      <w:lvlText w:val=""/>
      <w:lvlJc w:val="left"/>
      <w:pPr>
        <w:ind w:left="720" w:hanging="360"/>
      </w:pPr>
      <w:rPr>
        <w:rFonts w:ascii="Symbol" w:hAnsi="Symbol" w:hint="default"/>
        <w:b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D5BB1"/>
    <w:multiLevelType w:val="hybridMultilevel"/>
    <w:tmpl w:val="1F2AD012"/>
    <w:lvl w:ilvl="0" w:tplc="F2B840D6">
      <w:start w:val="1"/>
      <w:numFmt w:val="bullet"/>
      <w:lvlText w:val=""/>
      <w:lvlJc w:val="left"/>
      <w:pPr>
        <w:ind w:left="720" w:hanging="360"/>
      </w:pPr>
      <w:rPr>
        <w:rFonts w:ascii="Symbol" w:hAnsi="Symbol" w:hint="default"/>
        <w:b w:val="0"/>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0018232">
    <w:abstractNumId w:val="10"/>
  </w:num>
  <w:num w:numId="2" w16cid:durableId="1228343557">
    <w:abstractNumId w:val="9"/>
  </w:num>
  <w:num w:numId="3" w16cid:durableId="143738642">
    <w:abstractNumId w:val="6"/>
  </w:num>
  <w:num w:numId="4" w16cid:durableId="310523169">
    <w:abstractNumId w:val="16"/>
  </w:num>
  <w:num w:numId="5" w16cid:durableId="1607541105">
    <w:abstractNumId w:val="20"/>
  </w:num>
  <w:num w:numId="6" w16cid:durableId="1846435562">
    <w:abstractNumId w:val="0"/>
  </w:num>
  <w:num w:numId="7" w16cid:durableId="847519538">
    <w:abstractNumId w:val="1"/>
  </w:num>
  <w:num w:numId="8" w16cid:durableId="1641567560">
    <w:abstractNumId w:val="12"/>
  </w:num>
  <w:num w:numId="9" w16cid:durableId="1065179359">
    <w:abstractNumId w:val="14"/>
  </w:num>
  <w:num w:numId="10" w16cid:durableId="1064446479">
    <w:abstractNumId w:val="3"/>
  </w:num>
  <w:num w:numId="11" w16cid:durableId="1050349943">
    <w:abstractNumId w:val="11"/>
  </w:num>
  <w:num w:numId="12" w16cid:durableId="229585515">
    <w:abstractNumId w:val="7"/>
  </w:num>
  <w:num w:numId="13" w16cid:durableId="1093432916">
    <w:abstractNumId w:val="2"/>
  </w:num>
  <w:num w:numId="14" w16cid:durableId="413935009">
    <w:abstractNumId w:val="19"/>
  </w:num>
  <w:num w:numId="15" w16cid:durableId="1188176133">
    <w:abstractNumId w:val="5"/>
  </w:num>
  <w:num w:numId="16" w16cid:durableId="345253909">
    <w:abstractNumId w:val="17"/>
  </w:num>
  <w:num w:numId="17" w16cid:durableId="483206397">
    <w:abstractNumId w:val="18"/>
  </w:num>
  <w:num w:numId="18" w16cid:durableId="1768651939">
    <w:abstractNumId w:val="8"/>
  </w:num>
  <w:num w:numId="19" w16cid:durableId="1949124222">
    <w:abstractNumId w:val="4"/>
  </w:num>
  <w:num w:numId="20" w16cid:durableId="869489425">
    <w:abstractNumId w:val="15"/>
  </w:num>
  <w:num w:numId="21" w16cid:durableId="2435393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A0MjIxNLE0srSwsDRX0lEKTi0uzszPAykwqgUA4cFB5iwAAAA="/>
  </w:docVars>
  <w:rsids>
    <w:rsidRoot w:val="008214C8"/>
    <w:rsid w:val="0002584B"/>
    <w:rsid w:val="0002697C"/>
    <w:rsid w:val="000B4F09"/>
    <w:rsid w:val="000B6D9C"/>
    <w:rsid w:val="000E7D69"/>
    <w:rsid w:val="000F325C"/>
    <w:rsid w:val="00137C34"/>
    <w:rsid w:val="0015685B"/>
    <w:rsid w:val="00186072"/>
    <w:rsid w:val="00190F1D"/>
    <w:rsid w:val="001A2240"/>
    <w:rsid w:val="00254211"/>
    <w:rsid w:val="00267A1C"/>
    <w:rsid w:val="00281D5C"/>
    <w:rsid w:val="00290BF7"/>
    <w:rsid w:val="00313AE1"/>
    <w:rsid w:val="00366D43"/>
    <w:rsid w:val="00382BDC"/>
    <w:rsid w:val="0041109D"/>
    <w:rsid w:val="004C0FAD"/>
    <w:rsid w:val="00511E5F"/>
    <w:rsid w:val="0055675F"/>
    <w:rsid w:val="00571F58"/>
    <w:rsid w:val="005B3B43"/>
    <w:rsid w:val="005D62FA"/>
    <w:rsid w:val="006433DE"/>
    <w:rsid w:val="00653B56"/>
    <w:rsid w:val="0071677B"/>
    <w:rsid w:val="007309FD"/>
    <w:rsid w:val="00765442"/>
    <w:rsid w:val="00777FA5"/>
    <w:rsid w:val="008138BB"/>
    <w:rsid w:val="008214C8"/>
    <w:rsid w:val="008465C4"/>
    <w:rsid w:val="0086534A"/>
    <w:rsid w:val="0088656C"/>
    <w:rsid w:val="00890274"/>
    <w:rsid w:val="009D1D2A"/>
    <w:rsid w:val="00B01CEA"/>
    <w:rsid w:val="00B715A7"/>
    <w:rsid w:val="00B87D84"/>
    <w:rsid w:val="00BB740B"/>
    <w:rsid w:val="00BC54E9"/>
    <w:rsid w:val="00C350C4"/>
    <w:rsid w:val="00CB5AA9"/>
    <w:rsid w:val="00CC644F"/>
    <w:rsid w:val="00CD7CBB"/>
    <w:rsid w:val="00D05D6A"/>
    <w:rsid w:val="00D12968"/>
    <w:rsid w:val="00D304CC"/>
    <w:rsid w:val="00D6095C"/>
    <w:rsid w:val="00D947B9"/>
    <w:rsid w:val="00DE0C1D"/>
    <w:rsid w:val="00EF188F"/>
    <w:rsid w:val="00F339E1"/>
    <w:rsid w:val="00F636DB"/>
    <w:rsid w:val="00F82A34"/>
    <w:rsid w:val="00F87C5E"/>
    <w:rsid w:val="00FB442C"/>
    <w:rsid w:val="00FF2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14:docId w14:val="50DA9A67"/>
  <w14:defaultImageDpi w14:val="300"/>
  <w15:docId w15:val="{2E88279E-3DA3-4A9E-9329-1B0ABBF7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4C8"/>
    <w:pPr>
      <w:tabs>
        <w:tab w:val="center" w:pos="4320"/>
        <w:tab w:val="right" w:pos="8640"/>
      </w:tabs>
    </w:pPr>
  </w:style>
  <w:style w:type="character" w:customStyle="1" w:styleId="HeaderChar">
    <w:name w:val="Header Char"/>
    <w:basedOn w:val="DefaultParagraphFont"/>
    <w:link w:val="Header"/>
    <w:uiPriority w:val="99"/>
    <w:rsid w:val="008214C8"/>
  </w:style>
  <w:style w:type="paragraph" w:styleId="Footer">
    <w:name w:val="footer"/>
    <w:basedOn w:val="Normal"/>
    <w:link w:val="FooterChar"/>
    <w:uiPriority w:val="99"/>
    <w:unhideWhenUsed/>
    <w:rsid w:val="008214C8"/>
    <w:pPr>
      <w:tabs>
        <w:tab w:val="center" w:pos="4320"/>
        <w:tab w:val="right" w:pos="8640"/>
      </w:tabs>
    </w:pPr>
  </w:style>
  <w:style w:type="character" w:customStyle="1" w:styleId="FooterChar">
    <w:name w:val="Footer Char"/>
    <w:basedOn w:val="DefaultParagraphFont"/>
    <w:link w:val="Footer"/>
    <w:uiPriority w:val="99"/>
    <w:rsid w:val="008214C8"/>
  </w:style>
  <w:style w:type="paragraph" w:styleId="BalloonText">
    <w:name w:val="Balloon Text"/>
    <w:basedOn w:val="Normal"/>
    <w:link w:val="BalloonTextChar"/>
    <w:uiPriority w:val="99"/>
    <w:semiHidden/>
    <w:unhideWhenUsed/>
    <w:rsid w:val="008214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14C8"/>
    <w:rPr>
      <w:rFonts w:ascii="Lucida Grande" w:hAnsi="Lucida Grande" w:cs="Lucida Grande"/>
      <w:sz w:val="18"/>
      <w:szCs w:val="18"/>
    </w:rPr>
  </w:style>
  <w:style w:type="paragraph" w:styleId="IntenseQuote">
    <w:name w:val="Intense Quote"/>
    <w:basedOn w:val="Normal"/>
    <w:next w:val="Normal"/>
    <w:link w:val="IntenseQuoteChar"/>
    <w:uiPriority w:val="30"/>
    <w:qFormat/>
    <w:rsid w:val="00281D5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81D5C"/>
    <w:rPr>
      <w:i/>
      <w:iCs/>
      <w:color w:val="4F81BD" w:themeColor="accent1"/>
    </w:rPr>
  </w:style>
  <w:style w:type="paragraph" w:styleId="NoSpacing">
    <w:name w:val="No Spacing"/>
    <w:uiPriority w:val="1"/>
    <w:qFormat/>
    <w:rsid w:val="00281D5C"/>
  </w:style>
  <w:style w:type="paragraph" w:styleId="ListParagraph">
    <w:name w:val="List Paragraph"/>
    <w:basedOn w:val="Normal"/>
    <w:uiPriority w:val="34"/>
    <w:qFormat/>
    <w:rsid w:val="00281D5C"/>
    <w:pPr>
      <w:ind w:left="720"/>
      <w:contextualSpacing/>
    </w:pPr>
  </w:style>
  <w:style w:type="character" w:styleId="Hyperlink">
    <w:name w:val="Hyperlink"/>
    <w:basedOn w:val="DefaultParagraphFont"/>
    <w:uiPriority w:val="99"/>
    <w:unhideWhenUsed/>
    <w:rsid w:val="008465C4"/>
    <w:rPr>
      <w:color w:val="0000FF" w:themeColor="hyperlink"/>
      <w:u w:val="single"/>
    </w:rPr>
  </w:style>
  <w:style w:type="character" w:styleId="UnresolvedMention">
    <w:name w:val="Unresolved Mention"/>
    <w:basedOn w:val="DefaultParagraphFont"/>
    <w:uiPriority w:val="99"/>
    <w:semiHidden/>
    <w:unhideWhenUsed/>
    <w:rsid w:val="008465C4"/>
    <w:rPr>
      <w:color w:val="605E5C"/>
      <w:shd w:val="clear" w:color="auto" w:fill="E1DFDD"/>
    </w:rPr>
  </w:style>
  <w:style w:type="table" w:styleId="TableGrid">
    <w:name w:val="Table Grid"/>
    <w:basedOn w:val="TableNormal"/>
    <w:uiPriority w:val="59"/>
    <w:rsid w:val="00F33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43708">
      <w:bodyDiv w:val="1"/>
      <w:marLeft w:val="0"/>
      <w:marRight w:val="0"/>
      <w:marTop w:val="0"/>
      <w:marBottom w:val="0"/>
      <w:divBdr>
        <w:top w:val="none" w:sz="0" w:space="0" w:color="auto"/>
        <w:left w:val="none" w:sz="0" w:space="0" w:color="auto"/>
        <w:bottom w:val="none" w:sz="0" w:space="0" w:color="auto"/>
        <w:right w:val="none" w:sz="0" w:space="0" w:color="auto"/>
      </w:divBdr>
      <w:divsChild>
        <w:div w:id="1363900552">
          <w:marLeft w:val="0"/>
          <w:marRight w:val="0"/>
          <w:marTop w:val="0"/>
          <w:marBottom w:val="0"/>
          <w:divBdr>
            <w:top w:val="none" w:sz="0" w:space="0" w:color="auto"/>
            <w:left w:val="none" w:sz="0" w:space="0" w:color="auto"/>
            <w:bottom w:val="none" w:sz="0" w:space="0" w:color="auto"/>
            <w:right w:val="none" w:sz="0" w:space="0" w:color="auto"/>
          </w:divBdr>
          <w:divsChild>
            <w:div w:id="1033187967">
              <w:marLeft w:val="0"/>
              <w:marRight w:val="0"/>
              <w:marTop w:val="0"/>
              <w:marBottom w:val="0"/>
              <w:divBdr>
                <w:top w:val="none" w:sz="0" w:space="0" w:color="auto"/>
                <w:left w:val="none" w:sz="0" w:space="0" w:color="auto"/>
                <w:bottom w:val="none" w:sz="0" w:space="0" w:color="auto"/>
                <w:right w:val="none" w:sz="0" w:space="0" w:color="auto"/>
              </w:divBdr>
              <w:divsChild>
                <w:div w:id="409499568">
                  <w:marLeft w:val="0"/>
                  <w:marRight w:val="0"/>
                  <w:marTop w:val="0"/>
                  <w:marBottom w:val="0"/>
                  <w:divBdr>
                    <w:top w:val="none" w:sz="0" w:space="0" w:color="auto"/>
                    <w:left w:val="none" w:sz="0" w:space="0" w:color="auto"/>
                    <w:bottom w:val="none" w:sz="0" w:space="0" w:color="auto"/>
                    <w:right w:val="none" w:sz="0" w:space="0" w:color="auto"/>
                  </w:divBdr>
                  <w:divsChild>
                    <w:div w:id="141511942">
                      <w:marLeft w:val="0"/>
                      <w:marRight w:val="0"/>
                      <w:marTop w:val="120"/>
                      <w:marBottom w:val="120"/>
                      <w:divBdr>
                        <w:top w:val="none" w:sz="0" w:space="0" w:color="auto"/>
                        <w:left w:val="none" w:sz="0" w:space="0" w:color="auto"/>
                        <w:bottom w:val="none" w:sz="0" w:space="0" w:color="auto"/>
                        <w:right w:val="none" w:sz="0" w:space="0" w:color="auto"/>
                      </w:divBdr>
                      <w:divsChild>
                        <w:div w:id="1254363269">
                          <w:marLeft w:val="0"/>
                          <w:marRight w:val="0"/>
                          <w:marTop w:val="0"/>
                          <w:marBottom w:val="0"/>
                          <w:divBdr>
                            <w:top w:val="none" w:sz="0" w:space="0" w:color="auto"/>
                            <w:left w:val="none" w:sz="0" w:space="0" w:color="auto"/>
                            <w:bottom w:val="none" w:sz="0" w:space="0" w:color="auto"/>
                            <w:right w:val="none" w:sz="0" w:space="0" w:color="auto"/>
                          </w:divBdr>
                          <w:divsChild>
                            <w:div w:id="2047217340">
                              <w:marLeft w:val="0"/>
                              <w:marRight w:val="0"/>
                              <w:marTop w:val="0"/>
                              <w:marBottom w:val="0"/>
                              <w:divBdr>
                                <w:top w:val="none" w:sz="0" w:space="0" w:color="auto"/>
                                <w:left w:val="none" w:sz="0" w:space="0" w:color="auto"/>
                                <w:bottom w:val="none" w:sz="0" w:space="0" w:color="auto"/>
                                <w:right w:val="none" w:sz="0" w:space="0" w:color="auto"/>
                              </w:divBdr>
                            </w:div>
                          </w:divsChild>
                        </w:div>
                        <w:div w:id="425659813">
                          <w:marLeft w:val="0"/>
                          <w:marRight w:val="0"/>
                          <w:marTop w:val="0"/>
                          <w:marBottom w:val="0"/>
                          <w:divBdr>
                            <w:top w:val="none" w:sz="0" w:space="0" w:color="auto"/>
                            <w:left w:val="none" w:sz="0" w:space="0" w:color="auto"/>
                            <w:bottom w:val="none" w:sz="0" w:space="0" w:color="auto"/>
                            <w:right w:val="none" w:sz="0" w:space="0" w:color="auto"/>
                          </w:divBdr>
                          <w:divsChild>
                            <w:div w:id="106241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0255">
                      <w:marLeft w:val="0"/>
                      <w:marRight w:val="0"/>
                      <w:marTop w:val="0"/>
                      <w:marBottom w:val="0"/>
                      <w:divBdr>
                        <w:top w:val="none" w:sz="0" w:space="0" w:color="auto"/>
                        <w:left w:val="none" w:sz="0" w:space="0" w:color="auto"/>
                        <w:bottom w:val="none" w:sz="0" w:space="0" w:color="auto"/>
                        <w:right w:val="none" w:sz="0" w:space="0" w:color="auto"/>
                      </w:divBdr>
                      <w:divsChild>
                        <w:div w:id="18385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83795">
              <w:marLeft w:val="0"/>
              <w:marRight w:val="0"/>
              <w:marTop w:val="0"/>
              <w:marBottom w:val="0"/>
              <w:divBdr>
                <w:top w:val="none" w:sz="0" w:space="0" w:color="auto"/>
                <w:left w:val="none" w:sz="0" w:space="0" w:color="auto"/>
                <w:bottom w:val="none" w:sz="0" w:space="0" w:color="auto"/>
                <w:right w:val="none" w:sz="0" w:space="0" w:color="auto"/>
              </w:divBdr>
              <w:divsChild>
                <w:div w:id="103384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municode.com/ga/canton/codes/code_of_ordinances?nodeId=PTIIIDECO_CH102ZODILAU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ken.patton@cantonga.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id8</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Thompson</dc:creator>
  <cp:keywords/>
  <dc:description/>
  <cp:lastModifiedBy>Ken Patton</cp:lastModifiedBy>
  <cp:revision>3</cp:revision>
  <cp:lastPrinted>2023-04-24T13:12:00Z</cp:lastPrinted>
  <dcterms:created xsi:type="dcterms:W3CDTF">2023-05-23T18:25:00Z</dcterms:created>
  <dcterms:modified xsi:type="dcterms:W3CDTF">2023-05-23T19:29:00Z</dcterms:modified>
</cp:coreProperties>
</file>